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1" w:rsidRDefault="00B95654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>
        <w:rPr>
          <w:rFonts w:eastAsia="Calibri" w:cs="Arial"/>
          <w:b/>
          <w:color w:val="FF9933"/>
          <w:sz w:val="40"/>
        </w:rPr>
        <w:t>Wymagania edukacyjne – CHEMIA</w:t>
      </w:r>
      <w:bookmarkStart w:id="0" w:name="_GoBack"/>
      <w:bookmarkEnd w:id="0"/>
    </w:p>
    <w:p w:rsidR="00B95654" w:rsidRPr="00C6356C" w:rsidRDefault="00B95654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>
        <w:rPr>
          <w:rFonts w:eastAsia="Calibri" w:cs="Arial"/>
          <w:b/>
          <w:color w:val="FF9933"/>
          <w:sz w:val="40"/>
        </w:rPr>
        <w:t>Klasa 8</w:t>
      </w:r>
    </w:p>
    <w:tbl>
      <w:tblPr>
        <w:tblStyle w:val="Tabela-Siatka"/>
        <w:tblW w:w="15276" w:type="dxa"/>
        <w:tblInd w:w="-567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właściwości 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między właściwościami a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>waniem niektórych 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przewiduje wzory strukturalne kwasów HClO,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strąceniowym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zasady tworzenia nazw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obserwuje i opisuje właściwości chemiczne (reakcje spalania) alkanów; pisze równania reakcji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negatywne skutki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wzór ogólny szeregu homologicznego alkanoli;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pisze wzory sumaryczne, rysuje wzory półstrukturalne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>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alkoholi monohydroksylowych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polihydroksylowe;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ych) 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lastRenderedPageBreak/>
              <w:t>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r w:rsidR="002E6BBD">
              <w:rPr>
                <w:rFonts w:cs="Arial"/>
                <w:color w:val="000000"/>
                <w:sz w:val="20"/>
                <w:szCs w:val="20"/>
              </w:rPr>
              <w:t>monohydroksylowymi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opisuje, w jaki sposób zmieniają się właściwości fizyczne alkoholi wraz ze wzrostem liczby atomów węgla w 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nazwy systematyczne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wyjaśnia, w jaki sposób obecność wiązania kowalencyjnego spolaryzowanego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porównuje budowę cząsteczek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wzór sumaryczny sacharozy; bada i opisuje wybrane właściwości fizyczne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kwasów i zasad, soli metali ciężkich (np. CuSO</w:t>
            </w:r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aminooctowego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 xml:space="preserve">wyjaśnia znaczenie tłuszczów 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lastRenderedPageBreak/>
              <w:t>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dipeptydu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reakcję kondensacji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wzoru strukturalnego tri-, 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73" w:rsidRDefault="00526F73" w:rsidP="00285D6F">
      <w:pPr>
        <w:spacing w:after="0" w:line="240" w:lineRule="auto"/>
      </w:pPr>
      <w:r>
        <w:separator/>
      </w:r>
    </w:p>
  </w:endnote>
  <w:endnote w:type="continuationSeparator" w:id="0">
    <w:p w:rsidR="00526F73" w:rsidRDefault="00526F7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33" w:rsidRDefault="00220E3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964E2D" wp14:editId="6641C2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204F7" id="Łącznik prostoliniowy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</w:p>
  <w:p w:rsidR="00220E33" w:rsidRDefault="00220E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95654">
      <w:rPr>
        <w:noProof/>
      </w:rPr>
      <w:t>1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73" w:rsidRDefault="00526F73" w:rsidP="00285D6F">
      <w:pPr>
        <w:spacing w:after="0" w:line="240" w:lineRule="auto"/>
      </w:pPr>
      <w:r>
        <w:separator/>
      </w:r>
    </w:p>
  </w:footnote>
  <w:footnote w:type="continuationSeparator" w:id="0">
    <w:p w:rsidR="00526F73" w:rsidRDefault="00526F7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33" w:rsidRDefault="00220E33" w:rsidP="00B95654">
    <w:pPr>
      <w:pStyle w:val="Nagwek"/>
      <w:tabs>
        <w:tab w:val="clear" w:pos="9072"/>
      </w:tabs>
      <w:spacing w:after="40"/>
      <w:ind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26F73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95654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6C8A"/>
  <w15:docId w15:val="{8DA6B9F9-0D22-4612-B1D6-687F71B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1C6C-6E96-446E-81F5-BC2C09F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 Rybka</cp:lastModifiedBy>
  <cp:revision>2</cp:revision>
  <cp:lastPrinted>2017-04-26T11:04:00Z</cp:lastPrinted>
  <dcterms:created xsi:type="dcterms:W3CDTF">2023-02-09T07:49:00Z</dcterms:created>
  <dcterms:modified xsi:type="dcterms:W3CDTF">2023-02-09T07:49:00Z</dcterms:modified>
</cp:coreProperties>
</file>