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0" w:left="0" w:firstLine="0"/>
        <w:jc w:val="center"/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76"/>
        <w:ind w:right="0" w:left="0" w:firstLine="0"/>
        <w:jc w:val="center"/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Przedsi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biorstwo: InterRisk Towarzystwo Ubezpiecze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ń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 S.A. Vienna Insurance Group z siedzib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 w Warszawie przy ul. Stanis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awa Noakowskiego 22, wpisane do rejestru przedsi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biorc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w Krajowego Rejestru 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dowego prowadzonego przez 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d Rejonowy dla</w:t>
        <w:br/>
        <w:t xml:space="preserve">m.st. Warszawy w Warszawie, XII Wydzia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 Gospodarczy Krajowego Rejestru 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dowego pod nr KRS 0000054136, NIP 526-00-38-806,</w:t>
        <w:br/>
        <w:t xml:space="preserve">o kapitale zak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adowym w kwocie 137.640.100,00 PLN (op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acony w ca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ś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  <w:t xml:space="preserve">ci).</w:t>
      </w:r>
      <w:r>
        <w:object w:dxaOrig="4433" w:dyaOrig="1579">
          <v:rect xmlns:o="urn:schemas-microsoft-com:office:office" xmlns:v="urn:schemas-microsoft-com:vml" id="rectole0000000000" style="width:221.650000pt;height: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76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40" w:line="276"/>
        <w:ind w:right="0" w:left="0" w:firstLine="0"/>
        <w:jc w:val="left"/>
        <w:rPr>
          <w:rFonts w:ascii="Gill Sans MT" w:hAnsi="Gill Sans MT" w:cs="Gill Sans MT" w:eastAsia="Gill Sans MT"/>
          <w:b/>
          <w:i/>
          <w:color w:val="DE478E"/>
          <w:spacing w:val="20"/>
          <w:position w:val="0"/>
          <w:sz w:val="28"/>
          <w:shd w:fill="auto" w:val="clear"/>
        </w:rPr>
      </w:pPr>
    </w:p>
    <w:p>
      <w:pPr>
        <w:spacing w:before="0" w:after="160" w:line="276"/>
        <w:ind w:right="0" w:left="-142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keepLine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7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72"/>
          <w:shd w:fill="auto" w:val="clear"/>
        </w:rPr>
        <w:t xml:space="preserve">Edu Plus</w:t>
      </w:r>
    </w:p>
    <w:p>
      <w:pPr>
        <w:keepNext w:val="true"/>
        <w:keepLines w:val="true"/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454545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454545"/>
          <w:spacing w:val="0"/>
          <w:position w:val="0"/>
          <w:sz w:val="32"/>
          <w:shd w:fill="auto" w:val="clear"/>
        </w:rPr>
        <w:t xml:space="preserve">program ochrony ubezpieczeniowej </w:t>
        <w:br/>
        <w:t xml:space="preserve">dzieci i m</w:t>
      </w:r>
      <w:r>
        <w:rPr>
          <w:rFonts w:ascii="Arial" w:hAnsi="Arial" w:cs="Arial" w:eastAsia="Arial"/>
          <w:b/>
          <w:color w:val="454545"/>
          <w:spacing w:val="0"/>
          <w:position w:val="0"/>
          <w:sz w:val="32"/>
          <w:shd w:fill="auto" w:val="clear"/>
        </w:rPr>
        <w:t xml:space="preserve">łodzieży oraz personelu placówki oświatowej na rok szkolny 2022/2023</w:t>
      </w:r>
    </w:p>
    <w:p>
      <w:pPr>
        <w:spacing w:before="0" w:after="160" w:line="276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360"/>
        <w:ind w:right="0" w:left="504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LISÓW SZKO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u w:val="single"/>
          <w:shd w:fill="auto" w:val="clear"/>
        </w:rPr>
        <w:t xml:space="preserve">ŁA</w:t>
      </w:r>
    </w:p>
    <w:p>
      <w:pPr>
        <w:numPr>
          <w:ilvl w:val="0"/>
          <w:numId w:val="12"/>
        </w:numPr>
        <w:spacing w:before="60" w:after="60" w:line="360"/>
        <w:ind w:right="0" w:left="504" w:hanging="357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Ochrona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ubezpieczeniowa w ci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ągu całego roku szkolnego i wakacji</w:t>
      </w:r>
    </w:p>
    <w:p>
      <w:pPr>
        <w:spacing w:before="60" w:after="60" w:line="360"/>
        <w:ind w:right="0" w:left="504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365 dni w roku, przez 24 godz. na dob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ę</w:t>
      </w:r>
    </w:p>
    <w:p>
      <w:pPr>
        <w:numPr>
          <w:ilvl w:val="0"/>
          <w:numId w:val="14"/>
        </w:numPr>
        <w:spacing w:before="60" w:after="60" w:line="360"/>
        <w:ind w:right="0" w:left="720" w:hanging="357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Elastyczno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ść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– opcję główną ubezpieczenia możecie Państwo rozszerzyć o dowolnie wybrane opcje dodatkowe –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16 RÓŻNYCH OPCJI DODATKOWYCH</w:t>
      </w:r>
    </w:p>
    <w:p>
      <w:pPr>
        <w:numPr>
          <w:ilvl w:val="0"/>
          <w:numId w:val="14"/>
        </w:numPr>
        <w:spacing w:before="60" w:after="60" w:line="360"/>
        <w:ind w:right="0" w:left="720" w:hanging="36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 ramach Assistance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indywidualne korepetycje dla uczniów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którzy w wyniku nieszcz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ęśliwego wypadku nie mogą uczęszczać na zajęcia lekcyjne.</w:t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pomoc rehabilitacyjna dla pracownika personelu placówki 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światowej, który w wyniku nieszczęśliwego wypadku przebywał na zwolnieniu lekarskim</w:t>
      </w:r>
    </w:p>
    <w:p>
      <w:pPr>
        <w:numPr>
          <w:ilvl w:val="0"/>
          <w:numId w:val="14"/>
        </w:numPr>
        <w:spacing w:before="60" w:after="60" w:line="360"/>
        <w:ind w:right="0" w:left="720" w:hanging="357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żliwość stosowania 10% zniżki w składce ze względu na uczniów będących w trudnej sytuacji materialnej</w:t>
      </w:r>
    </w:p>
    <w:p>
      <w:pPr>
        <w:numPr>
          <w:ilvl w:val="0"/>
          <w:numId w:val="14"/>
        </w:numPr>
        <w:spacing w:before="60" w:after="60" w:line="360"/>
        <w:ind w:right="0" w:left="720" w:hanging="357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dzieci ucz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ęszczające na zajęcia sportowe pozalekcyjne nie mają wyższej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składki</w:t>
      </w:r>
    </w:p>
    <w:p>
      <w:pPr>
        <w:numPr>
          <w:ilvl w:val="0"/>
          <w:numId w:val="14"/>
        </w:numPr>
        <w:spacing w:before="60" w:after="60" w:line="360"/>
        <w:ind w:right="0" w:left="720" w:hanging="357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NAPRAWA OKULARÓW I APARATÓW 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ŁUCHPWYCH DO 200 ZŁ</w:t>
      </w:r>
    </w:p>
    <w:p>
      <w:pPr>
        <w:spacing w:before="0" w:after="0" w:line="240"/>
        <w:ind w:right="0" w:left="2832" w:firstLine="0"/>
        <w:jc w:val="center"/>
        <w:rPr>
          <w:rFonts w:ascii="Arial Narrow" w:hAnsi="Arial Narrow" w:cs="Arial Narrow" w:eastAsia="Arial Narrow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2832" w:firstLine="0"/>
        <w:jc w:val="center"/>
        <w:rPr>
          <w:rFonts w:ascii="Arial Narrow" w:hAnsi="Arial Narrow" w:cs="Arial Narrow" w:eastAsia="Arial Narrow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Pytania prosz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ę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kierowa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ć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do naszego przedstawiciela:</w:t>
      </w:r>
    </w:p>
    <w:p>
      <w:pPr>
        <w:spacing w:before="0" w:after="0" w:line="240"/>
        <w:ind w:right="0" w:left="2832" w:firstLine="0"/>
        <w:jc w:val="center"/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36"/>
          <w:shd w:fill="auto" w:val="clear"/>
        </w:rPr>
        <w:t xml:space="preserve">PLUS POLISA Joanna Ko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6"/>
          <w:shd w:fill="auto" w:val="clear"/>
        </w:rPr>
        <w:t xml:space="preserve">ś</w:t>
      </w:r>
      <w:r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36"/>
          <w:shd w:fill="auto" w:val="clear"/>
        </w:rPr>
        <w:t xml:space="preserve">cielniak</w:t>
      </w:r>
    </w:p>
    <w:p>
      <w:pPr>
        <w:spacing w:before="0" w:after="0" w:line="240"/>
        <w:ind w:right="0" w:left="2832" w:firstLine="0"/>
        <w:jc w:val="center"/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36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36"/>
          <w:shd w:fill="auto" w:val="clear"/>
        </w:rPr>
        <w:t xml:space="preserve">42-261 W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6"/>
          <w:shd w:fill="auto" w:val="clear"/>
        </w:rPr>
        <w:t xml:space="preserve">ł</w:t>
      </w:r>
      <w:r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36"/>
          <w:shd w:fill="auto" w:val="clear"/>
        </w:rPr>
        <w:t xml:space="preserve">asna ul. Zdrowa 38</w:t>
      </w:r>
    </w:p>
    <w:p>
      <w:pPr>
        <w:spacing w:before="0" w:after="0" w:line="240"/>
        <w:ind w:right="0" w:left="2832" w:firstLine="0"/>
        <w:jc w:val="center"/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44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44"/>
          <w:u w:val="single"/>
          <w:shd w:fill="auto" w:val="clear"/>
        </w:rPr>
        <w:t xml:space="preserve">698 664 256</w:t>
      </w:r>
    </w:p>
    <w:p>
      <w:pPr>
        <w:spacing w:before="0" w:after="0" w:line="240"/>
        <w:ind w:right="0" w:left="2832" w:firstLine="0"/>
        <w:jc w:val="center"/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44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44"/>
          <w:u w:val="single"/>
          <w:shd w:fill="auto" w:val="clear"/>
        </w:rPr>
        <w:t xml:space="preserve">609 262 769</w:t>
      </w:r>
    </w:p>
    <w:p>
      <w:pPr>
        <w:spacing w:before="0" w:after="0" w:line="240"/>
        <w:ind w:right="0" w:left="2832" w:firstLine="0"/>
        <w:jc w:val="center"/>
        <w:rPr>
          <w:rFonts w:ascii="Arial Narrow" w:hAnsi="Arial Narrow" w:cs="Arial Narrow" w:eastAsia="Arial Narrow"/>
          <w:b/>
          <w:i/>
          <w:color w:val="000000"/>
          <w:spacing w:val="0"/>
          <w:position w:val="0"/>
          <w:sz w:val="44"/>
          <w:u w:val="single"/>
          <w:shd w:fill="auto" w:val="clear"/>
        </w:rPr>
      </w:pPr>
    </w:p>
    <w:tbl>
      <w:tblPr/>
      <w:tblGrid>
        <w:gridCol w:w="650"/>
        <w:gridCol w:w="3226"/>
        <w:gridCol w:w="1878"/>
        <w:gridCol w:w="1735"/>
        <w:gridCol w:w="1708"/>
      </w:tblGrid>
      <w:tr>
        <w:trPr>
          <w:trHeight w:val="843" w:hRule="auto"/>
          <w:jc w:val="center"/>
        </w:trPr>
        <w:tc>
          <w:tcPr>
            <w:tcW w:w="6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ŁADKA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osoba/rok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 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 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 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ł</w:t>
            </w:r>
          </w:p>
        </w:tc>
      </w:tr>
      <w:tr>
        <w:trPr>
          <w:trHeight w:val="564" w:hRule="auto"/>
          <w:jc w:val="center"/>
        </w:trPr>
        <w:tc>
          <w:tcPr>
            <w:tcW w:w="6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SUMA UBEZPIECZENIA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25 000 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31 000 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36 000 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483" w:hRule="auto"/>
          <w:jc w:val="center"/>
        </w:trPr>
        <w:tc>
          <w:tcPr>
            <w:tcW w:w="6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Opis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świadczeń:</w:t>
            </w:r>
          </w:p>
        </w:tc>
        <w:tc>
          <w:tcPr>
            <w:tcW w:w="53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Wysoko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ść świadczenia</w:t>
            </w:r>
          </w:p>
        </w:tc>
      </w:tr>
      <w:tr>
        <w:trPr>
          <w:trHeight w:val="514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uszczerbek na zdrowiu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w wyniku NW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250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ł, max. 25 000 zł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310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ł, max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31 000z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360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ł, max 36 000 zł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śmierć Ubezpieczonego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w wyniku NW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25 000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31 000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36 000</w:t>
            </w:r>
          </w:p>
        </w:tc>
      </w:tr>
      <w:tr>
        <w:trPr>
          <w:trHeight w:val="797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koszty nabycia wyrobów medycznych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wydawanych na zlecenie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7 500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9 300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10 800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797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koszty przekwalifikowania zawodowego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osób niepe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łnosprawnych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7 500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9 300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10 800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uszczerbek na zdrowiu w wyniku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ataku padaczki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250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310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360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zdiagnozowanie u ubezpieczonego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sepsy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5 000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6 200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7 200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797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śmierć rodzica lub opiekuna prawnego Ubezpieczonego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w wyniku NW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2 500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3 100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3 600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pogryzienie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przez psa, pok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ąsania, ukąszenia/użądlenia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620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720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wstrz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ąśnienia mózgu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w wyniku NW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250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310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360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CFCFC" w:val="clear"/>
              </w:rPr>
              <w:t xml:space="preserve">Zatrucie pokarmowe lub nag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CFCFC" w:val="clear"/>
              </w:rPr>
              <w:t xml:space="preserve">łe zatrucie gazami, bądź porażenie prądem lub piorunem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1 250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1 550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1 800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CFCFC" w:val="clear"/>
              </w:rPr>
              <w:t xml:space="preserve">Rozpoznanie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CFCFC" w:val="clear"/>
              </w:rPr>
              <w:t xml:space="preserve">ąblownicy,toksoplazmozy, wścieklizny, zapalenia opon mózgowo-rdzeniowych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1 250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1 550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1 800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D1 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śmierć Ubezpieczonego w następstwie wypadku komunikacyjnego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6 000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12 000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D2 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oparzenia w wyniku nieszcz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ęśliwego wypadku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1 000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4 000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D3 –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odmro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1 000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D4 -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pobyt w szpitalu w wyniku NW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świadczenie od pierwszego dnia pobytu w szpitalu- warunek min. 3 dni pobytu)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ł/dzień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ł/dzień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ł/dzień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D5 -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pobyt w szpitalu w wyniku choroby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świadczenie od drugiego dnia pobytu-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warunek min. 3 dni pobytu)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ł/dzień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ł/dzień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ł/dzień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D6 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powa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żne zachorowanie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2 000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2 000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D7 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koszty operacji plastycznych w wyniku nieszcz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ęśliwego wypadku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1 500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2 000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D8 -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operacje w wyniku nieszcz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ęśliwego wypadku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2 000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4 000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D9 -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operacje w wyniku choroby 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operacje wymienione wy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łącznie w Tabeli nr 9</w:t>
              <w:br/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w OWU)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4 000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21.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D10 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koszty leczenia w wyniku nieszcz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ęśliwego wypadku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800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1 000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D13 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koszty leczenia stomatologicznego w wyniku nieszcz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ęśliwego wypadku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1 000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1 000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23.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D14 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uci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ążliwe leczenie w wyniku nieszczęśliwego wypadku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100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24.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– Assistance EDU PLUS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25.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–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Koszty op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łaconej wycieczki szkolnej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250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26.*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D20 – Pakiet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Kleszcz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i rozpoznanie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boreliozy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Max 1 500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Max 1 500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Max 1 500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  <w:tr>
        <w:trPr>
          <w:trHeight w:val="518" w:hRule="auto"/>
          <w:jc w:val="center"/>
        </w:trPr>
        <w:tc>
          <w:tcPr>
            <w:tcW w:w="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27.**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Opcja Dodatkowa – Hejt STOP</w:t>
            </w:r>
          </w:p>
        </w:tc>
        <w:tc>
          <w:tcPr>
            <w:tcW w:w="1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  <w:tc>
          <w:tcPr>
            <w:tcW w:w="1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5 000 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Obja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śnienia: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SU – suma ubezpieczenia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NW – nieszcz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ęśliwy wypadek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</w:pP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FFFFFF" w:val="clear"/>
        </w:rPr>
        <w:t xml:space="preserve">*Pakiet KLESZCZ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 - Maksymalna suma ubezpieczenia: 1 500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Zwrot kosztów usuni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ęcia kleszcza do 150 zł, zwrot badań diagnostycznych do 150 zł, zwrot kosztów antybiotykoterapii do 200 zł oraz świadczenie za zdiagnozowanie boreliozy 1 000 zł.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**Hejt STOP:</w:t>
      </w:r>
    </w:p>
    <w:p>
      <w:pPr>
        <w:spacing w:before="0" w:after="0" w:line="276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Pomoc IT- usuni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ęcie lub zablokowanie przez informatyka dostępu do negatywnych, obraźliwych lub bezprawnie udostępnionych informacji o Ubezpieczonym (zabezpieczenie i/lub wsparcie w usunięciu treści), a także w miarę możliwości identyfikacja sprawcy. Pomoc prawna – pomoc dotycząca sposobu postepowania w przypadku niepożądanego zdarzenia w sieci, zabezpieczenie dowodów, wsparcie prawne Ubezpieczonego w zgłoszeniu zdarzenia na Policję, w procesie interwencji, w dochodzeniu odszkodowania od sprawcy, sporządzaniu aktów prawnych i wniosków o zablokowanie treści. Pomoc psychologiczna - konsultacje zdalne realizowane przez specjalistów.</w:t>
      </w:r>
    </w:p>
    <w:p>
      <w:pPr>
        <w:spacing w:before="0" w:after="0" w:line="276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ASSISTANCE EDU PLUS: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Wizyta lekarza, piel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ęgniarki, dostawa leków, transport medyczny, infolinia medyczna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Indywidualne korepetycje (niezdolno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ść do nauki min 7 dni – zaświadczenie lekarskie do 10 godzin korepetycji na zdarzenie)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Pomoc informatyczna</w:t>
      </w:r>
    </w:p>
    <w:p>
      <w:pPr>
        <w:spacing w:before="0" w:after="0" w:line="276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