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A4" w:rsidRDefault="00190DA4" w:rsidP="00413B82">
      <w:pPr>
        <w:pBdr>
          <w:bottom w:val="single" w:sz="4" w:space="1" w:color="000000"/>
        </w:pBdr>
        <w:spacing w:after="0"/>
        <w:jc w:val="right"/>
        <w:rPr>
          <w:b/>
        </w:rPr>
      </w:pPr>
    </w:p>
    <w:p w:rsidR="00634195" w:rsidRDefault="009E662D" w:rsidP="00413B82">
      <w:pPr>
        <w:pBdr>
          <w:bottom w:val="single" w:sz="4" w:space="1" w:color="000000"/>
        </w:pBdr>
        <w:spacing w:after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857250" cy="489585"/>
            <wp:effectExtent l="0" t="0" r="0" b="5715"/>
            <wp:wrapNone/>
            <wp:docPr id="1" name="image2.jpg" descr="C:\Users\Marta.dalach\Desktop\Logo poprawione\NAU ubezpieczenia\logo_NAU_ubezpieczen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arta.dalach\Desktop\Logo poprawione\NAU ubezpieczenia\logo_NAU_ubezpieczenia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89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3B82" w:rsidRDefault="00413B82" w:rsidP="00413B82">
      <w:pPr>
        <w:pBdr>
          <w:bottom w:val="single" w:sz="4" w:space="1" w:color="000000"/>
        </w:pBdr>
        <w:spacing w:after="0"/>
        <w:jc w:val="right"/>
        <w:rPr>
          <w:b/>
        </w:rPr>
      </w:pPr>
    </w:p>
    <w:p w:rsidR="00413B82" w:rsidRDefault="00413B82">
      <w:pPr>
        <w:spacing w:after="120" w:line="240" w:lineRule="auto"/>
        <w:ind w:left="5760"/>
        <w:rPr>
          <w:b/>
        </w:rPr>
      </w:pPr>
    </w:p>
    <w:p w:rsidR="00413B82" w:rsidRDefault="00413B82">
      <w:pPr>
        <w:spacing w:after="120" w:line="240" w:lineRule="auto"/>
        <w:ind w:left="5760"/>
        <w:rPr>
          <w:b/>
        </w:rPr>
      </w:pPr>
    </w:p>
    <w:p w:rsidR="00634195" w:rsidRPr="003E7438" w:rsidRDefault="003E7438" w:rsidP="003E7438">
      <w:pPr>
        <w:spacing w:after="120" w:line="240" w:lineRule="auto"/>
        <w:ind w:left="5760"/>
        <w:rPr>
          <w:b/>
        </w:rPr>
      </w:pPr>
      <w:r>
        <w:rPr>
          <w:b/>
        </w:rPr>
        <w:t>Dyrektorzy placówek oświatowych</w:t>
      </w:r>
    </w:p>
    <w:p w:rsidR="00634195" w:rsidRDefault="009E662D">
      <w:pPr>
        <w:spacing w:after="120" w:line="240" w:lineRule="auto"/>
        <w:jc w:val="both"/>
        <w:rPr>
          <w:b/>
        </w:rPr>
      </w:pPr>
      <w:r>
        <w:rPr>
          <w:b/>
        </w:rPr>
        <w:t>Szanowni Państwo,</w:t>
      </w:r>
    </w:p>
    <w:p w:rsidR="002978E4" w:rsidRDefault="007868DA">
      <w:pPr>
        <w:spacing w:after="120" w:line="240" w:lineRule="auto"/>
        <w:jc w:val="both"/>
      </w:pPr>
      <w:r>
        <w:t>Rok szkolny 2023/2024</w:t>
      </w:r>
      <w:r w:rsidR="002978E4">
        <w:t xml:space="preserve"> to nowe wyzwania dla dzieci, ale też czas podjęcia decyzji w kwestii wyboru optymalnego ubezpieczenia NNW dla uczniów i przedszkolaków. Nasza najnowsza edycja ubezpieczenia NNW Dzieci i Młodzieży to kompleksowe rozwiązanie pozw</w:t>
      </w:r>
      <w:r w:rsidR="00ED14CD">
        <w:t>a</w:t>
      </w:r>
      <w:r w:rsidR="002978E4">
        <w:t>lające na el</w:t>
      </w:r>
      <w:r w:rsidR="00ED14CD">
        <w:t>a</w:t>
      </w:r>
      <w:r w:rsidR="002978E4">
        <w:t>styczne dosto</w:t>
      </w:r>
      <w:r w:rsidR="00ED14CD">
        <w:t>so</w:t>
      </w:r>
      <w:r w:rsidR="002978E4">
        <w:t xml:space="preserve">wanie zakresu ochrony ubezpieczeniowej do potrzeb placówki oświatowej. </w:t>
      </w:r>
    </w:p>
    <w:p w:rsidR="00634195" w:rsidRDefault="002978E4">
      <w:pPr>
        <w:spacing w:after="120" w:line="240" w:lineRule="auto"/>
        <w:jc w:val="both"/>
      </w:pPr>
      <w:r>
        <w:t>Już od wielu lat specjalizujemy się w tego rodzaju programach ubezpiecze</w:t>
      </w:r>
      <w:r w:rsidR="00ED14CD">
        <w:t>n</w:t>
      </w:r>
      <w:r>
        <w:t xml:space="preserve">iowych i nasza </w:t>
      </w:r>
      <w:r w:rsidR="009E662D">
        <w:t xml:space="preserve">praca wymaga </w:t>
      </w:r>
      <w:r w:rsidR="00ED14CD">
        <w:t xml:space="preserve">nie tylko </w:t>
      </w:r>
      <w:r w:rsidR="009E662D">
        <w:t>dokładnej i</w:t>
      </w:r>
      <w:r>
        <w:t xml:space="preserve"> stałej analizy potrzeb klientów,</w:t>
      </w:r>
      <w:r w:rsidR="00ED14CD">
        <w:t xml:space="preserve"> ale </w:t>
      </w:r>
      <w:r w:rsidR="00413B82">
        <w:t xml:space="preserve">również </w:t>
      </w:r>
      <w:r w:rsidR="00ED14CD">
        <w:t xml:space="preserve">zmian zachodzących </w:t>
      </w:r>
      <w:r w:rsidR="00413B82">
        <w:br/>
      </w:r>
      <w:r w:rsidR="00ED14CD">
        <w:t>w regulacjach prawnych dotyczących ryn</w:t>
      </w:r>
      <w:r w:rsidR="009E662D">
        <w:t>ku ubezpieczeń. W związku z tym, pragniemy poinformować</w:t>
      </w:r>
      <w:r w:rsidR="00ED14CD">
        <w:t xml:space="preserve"> </w:t>
      </w:r>
      <w:r w:rsidR="009E662D">
        <w:t>o najnowszych uregulowaniach prawnych wprost dotykających dyrektorów szkół, dotyczących umów zawieranych na cudzy rachunek, m.in. ubezpieczeń NNW dzieci i mł</w:t>
      </w:r>
      <w:r w:rsidR="000D32EF">
        <w:t>odzieży szkolnej.</w:t>
      </w:r>
    </w:p>
    <w:p w:rsidR="00ED14CD" w:rsidRDefault="00ED14CD">
      <w:pPr>
        <w:spacing w:after="120" w:line="240" w:lineRule="auto"/>
        <w:jc w:val="both"/>
      </w:pPr>
      <w:r>
        <w:rPr>
          <w:b/>
        </w:rPr>
        <w:t xml:space="preserve">Komisja Nadzoru Finansowego sprawująca nadzór nad rynkiem ubezpieczeniowym w Polsce </w:t>
      </w:r>
      <w:r w:rsidR="009E662D">
        <w:rPr>
          <w:b/>
        </w:rPr>
        <w:t xml:space="preserve">wydała Komunikat </w:t>
      </w:r>
      <w:proofErr w:type="spellStart"/>
      <w:r w:rsidR="009E662D">
        <w:rPr>
          <w:b/>
        </w:rPr>
        <w:t>ws</w:t>
      </w:r>
      <w:proofErr w:type="spellEnd"/>
      <w:r w:rsidR="009E662D">
        <w:rPr>
          <w:b/>
        </w:rPr>
        <w:t>. ubezpieczeń NNW dzieci i młodzieży szkolnej</w:t>
      </w:r>
      <w:r>
        <w:t xml:space="preserve"> (</w:t>
      </w:r>
      <w:r w:rsidR="009E662D">
        <w:t>stanowi załącznik do ninie</w:t>
      </w:r>
      <w:r>
        <w:t xml:space="preserve">jszego pisma), które jest dystrybuowane przez Kuratoria Oświaty. Komisja odniosła się </w:t>
      </w:r>
      <w:r w:rsidR="009E662D">
        <w:t>do praktyki polegającej na tym, że w zamian za wybór przez szkołę lub radę rodziców oferty ubezpieczenia NNW zakłady ubezpieczeń przekazują gratyfikację finansową lub materialną ubezpieczającemu.</w:t>
      </w:r>
      <w:r w:rsidR="008446F8">
        <w:t xml:space="preserve"> </w:t>
      </w:r>
      <w:r w:rsidR="008446F8" w:rsidRPr="00413B82">
        <w:rPr>
          <w:b/>
        </w:rPr>
        <w:t xml:space="preserve">Komisja </w:t>
      </w:r>
      <w:r w:rsidR="00B37BE7" w:rsidRPr="00413B82">
        <w:rPr>
          <w:b/>
        </w:rPr>
        <w:t xml:space="preserve">Nadzoru Finansowego </w:t>
      </w:r>
      <w:r w:rsidR="008446F8" w:rsidRPr="00413B82">
        <w:rPr>
          <w:b/>
        </w:rPr>
        <w:t>jednoznacznie uznaje takie praktyki za naruszenie obecnie obowiązujących przepisów prawa.</w:t>
      </w:r>
    </w:p>
    <w:p w:rsidR="008446F8" w:rsidRDefault="009E662D">
      <w:pPr>
        <w:spacing w:after="120" w:line="240" w:lineRule="auto"/>
        <w:jc w:val="both"/>
      </w:pPr>
      <w:r>
        <w:t xml:space="preserve"> Jest to tym bardziej istotne</w:t>
      </w:r>
      <w:r w:rsidR="00B37BE7">
        <w:t>, iż</w:t>
      </w:r>
      <w:r>
        <w:t xml:space="preserve"> w świetle art. 18 ust. 1 Ustawy  z dnia 11 września 2015 r. </w:t>
      </w:r>
      <w:r>
        <w:br/>
        <w:t>o działalności ubezpieczeniowej i reasekuracyjnej (</w:t>
      </w:r>
      <w:proofErr w:type="spellStart"/>
      <w:r>
        <w:t>t.j</w:t>
      </w:r>
      <w:proofErr w:type="spellEnd"/>
      <w:r>
        <w:t xml:space="preserve">. Dz. U. z 2017 r., poz. 1170; dalej „Ustawa”), </w:t>
      </w:r>
      <w:r>
        <w:rPr>
          <w:b/>
        </w:rPr>
        <w:t>ubezpieczający</w:t>
      </w:r>
      <w:r>
        <w:t xml:space="preserve"> </w:t>
      </w:r>
      <w:r>
        <w:rPr>
          <w:b/>
        </w:rPr>
        <w:t>nie może otrzymywać wynagrodzenia</w:t>
      </w:r>
      <w:r>
        <w:t xml:space="preserve"> ani innych korzyści w związku </w:t>
      </w:r>
      <w:r>
        <w:br/>
        <w:t xml:space="preserve">z oferowaniem możliwości przystąpienia do programu ubezpieczeniowego. Zgodnie z omawianym stanowiskiem jakakolwiek korzyść, może stanowić konflikt interesów przejawiający się </w:t>
      </w:r>
      <w:r w:rsidR="00413B82">
        <w:br/>
      </w:r>
      <w:r>
        <w:t xml:space="preserve">w </w:t>
      </w:r>
      <w:r>
        <w:rPr>
          <w:b/>
        </w:rPr>
        <w:t>przedkładaniu korzyści własnych ubezpieczającego nad interes ubezpieczonych.</w:t>
      </w:r>
      <w:r>
        <w:t xml:space="preserve"> </w:t>
      </w:r>
    </w:p>
    <w:p w:rsidR="008446F8" w:rsidRPr="00413B82" w:rsidRDefault="00B37BE7">
      <w:pPr>
        <w:spacing w:after="120" w:line="240" w:lineRule="auto"/>
        <w:jc w:val="both"/>
        <w:rPr>
          <w:b/>
        </w:rPr>
      </w:pPr>
      <w:r w:rsidRPr="00413B82">
        <w:rPr>
          <w:b/>
        </w:rPr>
        <w:t xml:space="preserve">W ocenie Komisji Nadzoru Finansowego możliwość skorzystania z </w:t>
      </w:r>
      <w:r w:rsidR="009E662D" w:rsidRPr="00413B82">
        <w:rPr>
          <w:b/>
        </w:rPr>
        <w:t>funduszu prewencyjnego</w:t>
      </w:r>
      <w:r w:rsidRPr="00413B82">
        <w:rPr>
          <w:b/>
        </w:rPr>
        <w:t xml:space="preserve"> przez placówkę oświatową </w:t>
      </w:r>
      <w:r w:rsidR="009E662D" w:rsidRPr="00413B82">
        <w:rPr>
          <w:b/>
        </w:rPr>
        <w:t>nie powin</w:t>
      </w:r>
      <w:r w:rsidRPr="00413B82">
        <w:rPr>
          <w:b/>
        </w:rPr>
        <w:t>na</w:t>
      </w:r>
      <w:r w:rsidR="009E662D" w:rsidRPr="00413B82">
        <w:rPr>
          <w:b/>
        </w:rPr>
        <w:t xml:space="preserve"> być wyznacznikiem wyboru oferty ubezpieczenia. </w:t>
      </w:r>
    </w:p>
    <w:p w:rsidR="00413B82" w:rsidRDefault="00413B82">
      <w:pPr>
        <w:spacing w:after="120" w:line="240" w:lineRule="auto"/>
        <w:jc w:val="both"/>
      </w:pPr>
      <w:bookmarkStart w:id="0" w:name="_gjdgxs" w:colFirst="0" w:colLast="0"/>
      <w:bookmarkEnd w:id="0"/>
      <w:r>
        <w:br/>
        <w:t>Reasumując, pragniemy skierować Państwa uwagę na nowe uwarunkowania prawne na Polskim rynku, które ściśle są związane z dokonywanym aktualnie wyborem ubezpieczeń NNW dla dzieci i młodzieży.</w:t>
      </w:r>
      <w:r w:rsidR="00F873A4">
        <w:t xml:space="preserve"> Każda ze stron powinna mieć świadomość obowiązków i odpowiedzialności jaka wynika z wyboru oferty ubezpieczenia.</w:t>
      </w:r>
    </w:p>
    <w:p w:rsidR="00413B82" w:rsidRPr="004A56AF" w:rsidRDefault="00F873A4">
      <w:pPr>
        <w:spacing w:after="120" w:line="240" w:lineRule="auto"/>
        <w:jc w:val="both"/>
        <w:rPr>
          <w:color w:val="FF0000"/>
        </w:rPr>
      </w:pPr>
      <w:r>
        <w:t>Nauczycielska Agencja Ubezpieczeniowa SA zapewnia</w:t>
      </w:r>
      <w:r w:rsidR="00413B82">
        <w:t xml:space="preserve"> wsparcie na każdym etapie </w:t>
      </w:r>
      <w:r w:rsidR="004A56AF">
        <w:t xml:space="preserve">wyboru i </w:t>
      </w:r>
      <w:r w:rsidR="00413B82">
        <w:t xml:space="preserve">wdrażania programu w placówce. Zapraszamy do współpracy i </w:t>
      </w:r>
      <w:r w:rsidR="00413B82" w:rsidRPr="004A56AF">
        <w:rPr>
          <w:color w:val="FF0000"/>
        </w:rPr>
        <w:t xml:space="preserve">kontaktu z </w:t>
      </w:r>
      <w:r w:rsidR="004A56AF" w:rsidRPr="004A56AF">
        <w:rPr>
          <w:color w:val="FF0000"/>
        </w:rPr>
        <w:t>………………….</w:t>
      </w:r>
      <w:r w:rsidR="00413B82" w:rsidRPr="004A56AF">
        <w:rPr>
          <w:color w:val="FF0000"/>
        </w:rPr>
        <w:t>…………………</w:t>
      </w:r>
      <w:r w:rsidR="004A56AF" w:rsidRPr="004A56AF">
        <w:rPr>
          <w:color w:val="FF0000"/>
        </w:rPr>
        <w:t xml:space="preserve"> </w:t>
      </w:r>
      <w:r w:rsidR="00413B82" w:rsidRPr="004A56AF">
        <w:rPr>
          <w:color w:val="FF0000"/>
        </w:rPr>
        <w:t>…………………………………………….</w:t>
      </w:r>
    </w:p>
    <w:p w:rsidR="00634195" w:rsidRDefault="009E662D" w:rsidP="004A56AF">
      <w:pPr>
        <w:spacing w:before="280" w:after="280" w:line="240" w:lineRule="auto"/>
        <w:rPr>
          <w:b/>
        </w:rPr>
      </w:pPr>
      <w:r>
        <w:br/>
        <w:t>Z wyrazami szacunku,</w:t>
      </w:r>
      <w:r>
        <w:br/>
        <w:t>Nauczycielska Agencja Ubezpieczeniowa SA</w:t>
      </w:r>
    </w:p>
    <w:sectPr w:rsidR="00634195" w:rsidSect="002B53FD">
      <w:footerReference w:type="default" r:id="rId8"/>
      <w:pgSz w:w="11906" w:h="16838"/>
      <w:pgMar w:top="1276" w:right="1417" w:bottom="212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BF" w:rsidRDefault="00C52DBF">
      <w:pPr>
        <w:spacing w:after="0" w:line="240" w:lineRule="auto"/>
      </w:pPr>
      <w:r>
        <w:separator/>
      </w:r>
    </w:p>
  </w:endnote>
  <w:endnote w:type="continuationSeparator" w:id="0">
    <w:p w:rsidR="00C52DBF" w:rsidRDefault="00C5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2D" w:rsidRDefault="009E662D">
    <w:pPr>
      <w:pBdr>
        <w:top w:val="single" w:sz="4" w:space="1" w:color="000000"/>
      </w:pBdr>
      <w:spacing w:before="100" w:after="808" w:line="240" w:lineRule="auto"/>
      <w:rPr>
        <w:color w:val="595959"/>
        <w:sz w:val="16"/>
        <w:szCs w:val="16"/>
      </w:rPr>
    </w:pPr>
    <w:r>
      <w:rPr>
        <w:color w:val="7F7F7F"/>
        <w:sz w:val="8"/>
        <w:szCs w:val="8"/>
      </w:rPr>
      <w:br/>
    </w:r>
    <w:r>
      <w:rPr>
        <w:color w:val="595959"/>
        <w:sz w:val="16"/>
        <w:szCs w:val="16"/>
      </w:rPr>
      <w:t xml:space="preserve">Nauczycielska Agencja Ubezpieczeniowa SA (NAU SA); ul. Wybrzeże Kościuszkowskie 31/33, 00-379 Warszawa; NIP: 525-21-00-353; </w:t>
    </w:r>
    <w:r>
      <w:rPr>
        <w:color w:val="595959"/>
        <w:sz w:val="16"/>
        <w:szCs w:val="16"/>
      </w:rPr>
      <w:br/>
      <w:t>REGON: 014871876; KRS: 0000093218; Sąd Rejonowy m.st. Warszawy, XII Wydział Gospodarczy KRS; kapitał zakładowy: 500 000 PLN, opłacony w całości.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BF" w:rsidRDefault="00C52DBF">
      <w:pPr>
        <w:spacing w:after="0" w:line="240" w:lineRule="auto"/>
      </w:pPr>
      <w:r>
        <w:separator/>
      </w:r>
    </w:p>
  </w:footnote>
  <w:footnote w:type="continuationSeparator" w:id="0">
    <w:p w:rsidR="00C52DBF" w:rsidRDefault="00C5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2DF"/>
    <w:multiLevelType w:val="multilevel"/>
    <w:tmpl w:val="544A000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color w:val="00B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95"/>
    <w:rsid w:val="000440AB"/>
    <w:rsid w:val="000D32EF"/>
    <w:rsid w:val="00111584"/>
    <w:rsid w:val="0013582C"/>
    <w:rsid w:val="00143F25"/>
    <w:rsid w:val="00162963"/>
    <w:rsid w:val="00190DA4"/>
    <w:rsid w:val="002978E4"/>
    <w:rsid w:val="002B53FD"/>
    <w:rsid w:val="003A540F"/>
    <w:rsid w:val="003E7438"/>
    <w:rsid w:val="00413B82"/>
    <w:rsid w:val="004A56AF"/>
    <w:rsid w:val="005048C7"/>
    <w:rsid w:val="00634195"/>
    <w:rsid w:val="007868DA"/>
    <w:rsid w:val="007E7B40"/>
    <w:rsid w:val="007F5590"/>
    <w:rsid w:val="008446F8"/>
    <w:rsid w:val="00985537"/>
    <w:rsid w:val="009D41B4"/>
    <w:rsid w:val="009E662D"/>
    <w:rsid w:val="00B37BE7"/>
    <w:rsid w:val="00C52DBF"/>
    <w:rsid w:val="00CC463A"/>
    <w:rsid w:val="00EC101B"/>
    <w:rsid w:val="00ED14CD"/>
    <w:rsid w:val="00F8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53FD"/>
  </w:style>
  <w:style w:type="paragraph" w:styleId="Nagwek1">
    <w:name w:val="heading 1"/>
    <w:basedOn w:val="Normalny"/>
    <w:next w:val="Normalny"/>
    <w:rsid w:val="002B53F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rsid w:val="002B53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B53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B53FD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rsid w:val="002B53F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B53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B53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B53F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B53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Białocerkiewicz Justyna</dc:creator>
  <cp:lastModifiedBy>Prezes</cp:lastModifiedBy>
  <cp:revision>12</cp:revision>
  <dcterms:created xsi:type="dcterms:W3CDTF">2022-07-25T09:46:00Z</dcterms:created>
  <dcterms:modified xsi:type="dcterms:W3CDTF">2023-09-12T09:49:00Z</dcterms:modified>
</cp:coreProperties>
</file>