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  <w:p w:rsidR="0013029D" w:rsidRDefault="00154BB6" w:rsidP="00154BB6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Pr="00154BB6">
              <w:rPr>
                <w:rFonts w:ascii="Calibri" w:hAnsi="Calibri" w:cs="Calibri"/>
                <w:color w:val="F79646" w:themeColor="accent6"/>
                <w:sz w:val="18"/>
                <w:szCs w:val="18"/>
                <w:lang w:bidi="he-IL"/>
              </w:rPr>
              <w:t>Wyj</w:t>
            </w:r>
            <w:r w:rsidR="0013029D" w:rsidRPr="00154BB6">
              <w:rPr>
                <w:rFonts w:ascii="Calibri" w:hAnsi="Calibri" w:cs="Calibri"/>
                <w:color w:val="F79646" w:themeColor="accent6"/>
                <w:sz w:val="18"/>
                <w:szCs w:val="18"/>
                <w:lang w:bidi="he-IL"/>
              </w:rPr>
              <w:t>aśnia, kiedy można na podstawie obserwacji wyciągnąć wnioski</w:t>
            </w:r>
          </w:p>
          <w:p w:rsidR="0013029D" w:rsidRPr="0013029D" w:rsidRDefault="0013029D" w:rsidP="0013029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  <w:p w:rsidR="0013029D" w:rsidRPr="00B0340D" w:rsidRDefault="00154BB6" w:rsidP="00154BB6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 Wyjaśnia, dlaczego droga Sło</w:t>
            </w:r>
            <w:r w:rsidR="0013029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ńca nad widnokręgiem odbywa się w cyklu dobowym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Podsumowanie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  <w:bookmarkStart w:id="0" w:name="_GoBack"/>
        <w:bookmarkEnd w:id="0"/>
      </w:tr>
      <w:tr w:rsidR="003A61F2" w:rsidRPr="00B0340D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  <w:p w:rsidR="00D2232B" w:rsidRPr="00B0340D" w:rsidRDefault="00DE629B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D2232B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Wykazuje związek między budową przewodu pokarmowego roślinożerców a spożywanym przez nich pokarmem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wygląda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warunki panujące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środowiskach wodnych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ożywione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nieożywione 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głębokość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zbiornika wpływa na ilość światła dostępnego dla 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warunki życia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wodzie z warunkami życia na ladzie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wybranego zbiornika wodnego zawierający informacje o jego 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  <w:p w:rsidR="00BC4036" w:rsidRPr="00B0340D" w:rsidRDefault="00BC4036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Wyjaśnia zasadę działania pęcherza pławnego.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potrafi zaklasyfikować środowisko lądowe jako sztuczne lub naturalne na podstawie jego zdjęcia lub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  <w:p w:rsidR="00056D4A" w:rsidRPr="00B0340D" w:rsidRDefault="00130485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056D4A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Prezentuje samodzielnie opracowany regulamin zachowania się w lesie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  <w:p w:rsidR="00501C24" w:rsidRPr="00B0340D" w:rsidRDefault="00501C2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Pr="00731D40">
              <w:rPr>
                <w:sz w:val="18"/>
                <w:szCs w:val="18"/>
              </w:rPr>
              <w:t>Uzasadnia przywracanie wartości użytkowych i przyrodniczych terenom zdegradowanym.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  <w:p w:rsidR="00943BC7" w:rsidRPr="00B0340D" w:rsidRDefault="00943BC7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Pr="00943BC7">
              <w:rPr>
                <w:color w:val="F79646" w:themeColor="accent6"/>
                <w:sz w:val="18"/>
                <w:szCs w:val="18"/>
              </w:rPr>
              <w:t>Uzasadnia przywracanie wartości użytkowych i przyrodniczych terenom zdegradowanym.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łąkę od pola uprawnego na zdjęciu lub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typowych organizmów łąki i pola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łąkę jako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  <w:p w:rsidR="00731D40" w:rsidRPr="00731D40" w:rsidRDefault="00731D40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  <w:p w:rsidR="001709E6" w:rsidRPr="00B0340D" w:rsidRDefault="0085197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1709E6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Wykazuje związek budowy zwierząt z przystosowaniem do życia na różnych podłożach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III. Obserwujemy pogodę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to jest 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pojęcia „powietrze”, „atmosfera”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poprawność stwierdzenia „pogoda jest zawsze”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znaczenia atmosfery dla życia na ziemi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dowiaduje się, jaki jest skład powietrza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różnych opadów ze względu na ich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intensywność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osadów atmosferycznych i ich stan 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czym się różnią opady od osadów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atmosferycznych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warunki, w jakich powstają: rosa, szron, szadź i gołoledź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prognozę pogody dla swojej miejscowości, korzystając z internetowych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serwisów pogodowych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na widnokręgu lub schemacie miejsca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wschodu, zachodu słońca w ciągu doby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zależność między wysokością słońca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 długością cienia w ciągu dnia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przykład, jak można 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zależności między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z życia codziennego, w których przydaje się wiedza na temat zmian temperatury i długości cienia w ciągu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dnia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  <w:p w:rsidR="00940BEC" w:rsidRPr="00B0340D" w:rsidRDefault="00EF5F2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940BEC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Samodzielnie wykonuje rysu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nki przedstawiające drogę S</w:t>
            </w:r>
            <w:r w:rsidR="00940BEC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łońca nad widnokręgiem w dniach rozpoczęcia pór roku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kolejne stopnie hierarchicznej budowy swojego ciała (komórka,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potrafi przyporządkować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wyszukuje informacje na temat różnic w budowie anatomicznej kobiety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mężczyzny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się dzieje z moją zjedzoną 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pokarmowe (białka, cukry, tłuszcze, sole mineralne, witaminy)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składniki pokarmowe znajdujące się w jego posiłkach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pojęcie przewód pokarmowy i układ pokarmowy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ogólną rolę gruczołów: ślinianek, wątroby i trzustki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  <w:p w:rsidR="00936122" w:rsidRPr="00B0340D" w:rsidRDefault="006816E3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936122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Wykazuje związek pomiędzy budową a rolą krtani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lapbook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dotyczący budowy krwi i badań laboratoryjnych krwi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  <w:p w:rsidR="0066630F" w:rsidRPr="00B0340D" w:rsidRDefault="0066630F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783DD0"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="00783DD0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Wyjaśnia, co to znaczy, że na dojrzewanie mają wpływ hormony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moje ciało broni się przed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główne czynniki chorobotwórcze (bakterie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wirusy)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minimum 4 choroby przenoszone drogą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oddechową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czynności, które pozwolą ustrzec się przed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chorobami zakaźnymi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szczepienie jako jedną z dróg profilaktyki 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przygotowuje plakat dotyczący wybranej choroby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zakaźnej zawierający informacje o drodze zakażenia, objawach i leczeniu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są </w:t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niebez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pieczne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skutki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fonoholizmu</w:t>
            </w:r>
            <w:proofErr w:type="spellEnd"/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uzasadnia, że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fonoholizm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jest niebezpieczny dla zdrowia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działania, które mogą zmniejszyć ryzyko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fonoholizmu</w:t>
            </w:r>
            <w:proofErr w:type="spellEnd"/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zadzwonić na 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udzielić pierwszej pomocy w sytuacji oparzeń, ugryzień, ukąszeń, ran lub spożycia trucizny, np. nieznanego grzyba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po jednym przykładzie skał litych,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zwięzłych i luźnych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kryteria podziału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2–3 skał 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czym różnią się skały magmowe, osadowe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przeobrażone oraz lite, zwięzłe i luźne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i rozpoznaje różne 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różnego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zastosowania skał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ze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sobą̨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</w:t>
            </w:r>
            <w:r w:rsidR="00E80019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 wklęsłych w Polsce, które są cenne krajobrazowo i stanowią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atrakcję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turystyczną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. Podaje 4–5 przykładów.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nazw miejscowości pochodzących od nazwiska ich założyciela, cech krajobrazu lub zawodu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prezentuje informacje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dotyczące pochodzenia nazwy swojej miejscowości</w:t>
            </w:r>
          </w:p>
        </w:tc>
      </w:tr>
      <w:tr w:rsidR="003A61F2" w:rsidRPr="00B0340D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parku narodowego, krajobrazowego, rezerwatu przyrody, pomnika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klasie informacje o 2–3 obiektach chronionych najbliższej okolicy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mierzy odległości za pomocą kroków, przelicza odległość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do narysowania planu niektórych przedmiotów należy zastosować skalę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rysuje plan np. pokoju, boiska, klasy, dokonując pomiarów i dobierając odpowiednią skalę</w:t>
            </w:r>
          </w:p>
          <w:p w:rsidR="00D056FE" w:rsidRPr="00B0340D" w:rsidRDefault="00077FF4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A933E3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Szacuje na podstawie pomiarów s</w:t>
            </w:r>
            <w:r w:rsidR="00D056FE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ali lekcyjnej ile razy należy </w:t>
            </w:r>
            <w:r w:rsidR="00A933E3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zmniejszyć długość i szerokość s</w:t>
            </w:r>
            <w:r w:rsidR="00D056FE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ali, aby jej plan zmieścił się na kartce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  <w:p w:rsidR="007656C2" w:rsidRPr="00B0340D" w:rsidRDefault="007656C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 w:rsidR="00056FC3"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="00056FC3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Orientuje plan miasta i mapę topograficzna za pomocą kompasu i charakterystycznych punktów w terenie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należy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zachowywać się w czasie burzy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właściwe ubranie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projektuje plakat zawierający znaki lub piktogramy opisujące zasady zachowania się wobec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przyrody w najbliższym otoczeniu szkoły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obserwacji zgodnie z instrukcją 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B7" w:rsidRDefault="003A1DB7" w:rsidP="00285D6F">
      <w:pPr>
        <w:spacing w:after="0" w:line="240" w:lineRule="auto"/>
      </w:pPr>
      <w:r>
        <w:separator/>
      </w:r>
    </w:p>
  </w:endnote>
  <w:endnote w:type="continuationSeparator" w:id="1">
    <w:p w:rsidR="003A1DB7" w:rsidRDefault="003A1DB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Calibri"/>
    <w:charset w:val="EE"/>
    <w:family w:val="swiss"/>
    <w:pitch w:val="variable"/>
    <w:sig w:usb0="00000001" w:usb1="4000604A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425469" w:rsidRDefault="00F75787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F75787">
      <w:rPr>
        <w:b/>
        <w:noProof/>
        <w:color w:val="003892"/>
        <w:sz w:val="18"/>
        <w:szCs w:val="18"/>
        <w:lang w:eastAsia="pl-PL"/>
      </w:rPr>
      <w:pict>
        <v:line id="Łącznik prostoliniowy 3" o:spid="_x0000_s4098" style="position:absolute;left:0;text-align:left;z-index:251656192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:rsidR="00285D6F" w:rsidRDefault="00F75787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F75787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0288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983221" w:rsidRDefault="00F75787" w:rsidP="002679A6">
    <w:pPr>
      <w:pStyle w:val="Stopka"/>
      <w:spacing w:line="160" w:lineRule="exact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B24562">
      <w:rPr>
        <w:noProof/>
      </w:rPr>
      <w:t>21</w:t>
    </w:r>
    <w:r>
      <w:fldChar w:fldCharType="end"/>
    </w:r>
  </w:p>
  <w:p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B7" w:rsidRDefault="003A1DB7" w:rsidP="00285D6F">
      <w:pPr>
        <w:spacing w:after="0" w:line="240" w:lineRule="auto"/>
      </w:pPr>
      <w:r>
        <w:separator/>
      </w:r>
    </w:p>
  </w:footnote>
  <w:footnote w:type="continuationSeparator" w:id="1">
    <w:p w:rsidR="003A1DB7" w:rsidRDefault="003A1DB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D1" w:rsidRDefault="005910D1" w:rsidP="005910D1">
    <w:pPr>
      <w:pStyle w:val="Nagwek"/>
      <w:tabs>
        <w:tab w:val="clear" w:pos="9072"/>
      </w:tabs>
      <w:ind w:left="-1418"/>
    </w:pPr>
  </w:p>
  <w:p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</w:rPr>
      <w:t>Wymagania edukacyjne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EDB"/>
    <w:multiLevelType w:val="hybridMultilevel"/>
    <w:tmpl w:val="46EE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56D4A"/>
    <w:rsid w:val="00056FC3"/>
    <w:rsid w:val="00077FF4"/>
    <w:rsid w:val="00092AF4"/>
    <w:rsid w:val="00123900"/>
    <w:rsid w:val="0013029D"/>
    <w:rsid w:val="00130485"/>
    <w:rsid w:val="001462E0"/>
    <w:rsid w:val="00154BB6"/>
    <w:rsid w:val="001709E6"/>
    <w:rsid w:val="00177737"/>
    <w:rsid w:val="00245DA5"/>
    <w:rsid w:val="002679A6"/>
    <w:rsid w:val="00285D6F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1DB7"/>
    <w:rsid w:val="003A61F2"/>
    <w:rsid w:val="003B56FB"/>
    <w:rsid w:val="003E37AD"/>
    <w:rsid w:val="003E37CA"/>
    <w:rsid w:val="004022EF"/>
    <w:rsid w:val="00425469"/>
    <w:rsid w:val="00435B7E"/>
    <w:rsid w:val="004545DD"/>
    <w:rsid w:val="004A2047"/>
    <w:rsid w:val="00501C24"/>
    <w:rsid w:val="005910D1"/>
    <w:rsid w:val="00595A89"/>
    <w:rsid w:val="005D3551"/>
    <w:rsid w:val="00602ABB"/>
    <w:rsid w:val="00612F2B"/>
    <w:rsid w:val="00614CC3"/>
    <w:rsid w:val="006613CA"/>
    <w:rsid w:val="0066630F"/>
    <w:rsid w:val="00672759"/>
    <w:rsid w:val="006816E3"/>
    <w:rsid w:val="006B5810"/>
    <w:rsid w:val="006B7499"/>
    <w:rsid w:val="006F11C8"/>
    <w:rsid w:val="007249CF"/>
    <w:rsid w:val="00731D40"/>
    <w:rsid w:val="00737206"/>
    <w:rsid w:val="007579CC"/>
    <w:rsid w:val="007656C2"/>
    <w:rsid w:val="00783DD0"/>
    <w:rsid w:val="007B3CB5"/>
    <w:rsid w:val="00804E2A"/>
    <w:rsid w:val="0083378C"/>
    <w:rsid w:val="00851974"/>
    <w:rsid w:val="008648E0"/>
    <w:rsid w:val="00867DB1"/>
    <w:rsid w:val="008C2636"/>
    <w:rsid w:val="008E22CA"/>
    <w:rsid w:val="009030CE"/>
    <w:rsid w:val="00936122"/>
    <w:rsid w:val="00940BEC"/>
    <w:rsid w:val="00943BC7"/>
    <w:rsid w:val="009546D1"/>
    <w:rsid w:val="00983221"/>
    <w:rsid w:val="009D3C9A"/>
    <w:rsid w:val="009E0F62"/>
    <w:rsid w:val="00A363DC"/>
    <w:rsid w:val="00A5798A"/>
    <w:rsid w:val="00A933E3"/>
    <w:rsid w:val="00AA3ACA"/>
    <w:rsid w:val="00B24562"/>
    <w:rsid w:val="00B70C6A"/>
    <w:rsid w:val="00B73F0F"/>
    <w:rsid w:val="00B76708"/>
    <w:rsid w:val="00B929FB"/>
    <w:rsid w:val="00BC4036"/>
    <w:rsid w:val="00BF48A4"/>
    <w:rsid w:val="00C06B2A"/>
    <w:rsid w:val="00C146B2"/>
    <w:rsid w:val="00C5274B"/>
    <w:rsid w:val="00CA1C29"/>
    <w:rsid w:val="00CD40B3"/>
    <w:rsid w:val="00D024E4"/>
    <w:rsid w:val="00D056FE"/>
    <w:rsid w:val="00D2232B"/>
    <w:rsid w:val="00D276B2"/>
    <w:rsid w:val="00D83EEB"/>
    <w:rsid w:val="00DC4FC3"/>
    <w:rsid w:val="00DD24FF"/>
    <w:rsid w:val="00DE4B42"/>
    <w:rsid w:val="00DE629B"/>
    <w:rsid w:val="00E13F93"/>
    <w:rsid w:val="00E21DB4"/>
    <w:rsid w:val="00E523F5"/>
    <w:rsid w:val="00E80019"/>
    <w:rsid w:val="00EC12C2"/>
    <w:rsid w:val="00EE12B2"/>
    <w:rsid w:val="00EF2F23"/>
    <w:rsid w:val="00EF5F24"/>
    <w:rsid w:val="00F2739C"/>
    <w:rsid w:val="00F75787"/>
    <w:rsid w:val="00FA695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BB0C-5A2A-4B5B-AE36-D91CCD7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5804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PC</cp:lastModifiedBy>
  <cp:revision>2</cp:revision>
  <cp:lastPrinted>2023-09-11T08:15:00Z</cp:lastPrinted>
  <dcterms:created xsi:type="dcterms:W3CDTF">2023-09-11T13:38:00Z</dcterms:created>
  <dcterms:modified xsi:type="dcterms:W3CDTF">2023-09-11T13:38:00Z</dcterms:modified>
</cp:coreProperties>
</file>