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85" w:rsidRDefault="006C2385" w:rsidP="006D6905">
      <w:pPr>
        <w:autoSpaceDE w:val="0"/>
        <w:autoSpaceDN w:val="0"/>
        <w:adjustRightInd w:val="0"/>
        <w:rPr>
          <w:rFonts w:ascii="Cambria" w:hAnsi="Cambria" w:cs="Cambria"/>
          <w:b/>
          <w:bCs/>
          <w:color w:val="000000"/>
          <w:sz w:val="20"/>
          <w:szCs w:val="20"/>
        </w:rPr>
      </w:pPr>
      <w:r w:rsidRPr="006D6905">
        <w:rPr>
          <w:rFonts w:ascii="Cambria" w:hAnsi="Cambria" w:cs="Cambria"/>
          <w:b/>
          <w:bCs/>
          <w:color w:val="000000"/>
          <w:sz w:val="20"/>
          <w:szCs w:val="20"/>
        </w:rPr>
        <w:tab/>
      </w:r>
      <w:r w:rsidRPr="006D6905">
        <w:rPr>
          <w:rFonts w:ascii="Cambria" w:hAnsi="Cambria" w:cs="Cambria"/>
          <w:b/>
          <w:bCs/>
          <w:color w:val="000000"/>
          <w:sz w:val="20"/>
          <w:szCs w:val="20"/>
        </w:rPr>
        <w:tab/>
      </w:r>
      <w:r w:rsidRPr="006D6905">
        <w:rPr>
          <w:rFonts w:ascii="Cambria" w:hAnsi="Cambria" w:cs="Cambria"/>
          <w:b/>
          <w:bCs/>
          <w:color w:val="000000"/>
          <w:sz w:val="20"/>
          <w:szCs w:val="20"/>
        </w:rPr>
        <w:tab/>
      </w:r>
      <w:r w:rsidRPr="006D6905">
        <w:rPr>
          <w:rFonts w:ascii="Cambria" w:hAnsi="Cambria" w:cs="Cambria"/>
          <w:b/>
          <w:bCs/>
          <w:color w:val="000000"/>
          <w:sz w:val="20"/>
          <w:szCs w:val="20"/>
        </w:rPr>
        <w:tab/>
      </w:r>
      <w:r w:rsidRPr="006D6905">
        <w:rPr>
          <w:rFonts w:ascii="Cambria" w:hAnsi="Cambria" w:cs="Cambria"/>
          <w:b/>
          <w:bCs/>
          <w:color w:val="000000"/>
          <w:sz w:val="20"/>
          <w:szCs w:val="20"/>
        </w:rPr>
        <w:tab/>
      </w:r>
      <w:r w:rsidRPr="006D6905">
        <w:rPr>
          <w:rFonts w:ascii="Cambria" w:hAnsi="Cambria" w:cs="Cambria"/>
          <w:b/>
          <w:bCs/>
          <w:color w:val="000000"/>
          <w:sz w:val="20"/>
          <w:szCs w:val="20"/>
        </w:rPr>
        <w:tab/>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3E2F63"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ZMLUVA</w:t>
      </w:r>
      <w:r w:rsidR="006C2385">
        <w:rPr>
          <w:rFonts w:ascii="Cambria" w:hAnsi="Cambria" w:cs="Cambria"/>
          <w:b/>
          <w:bCs/>
          <w:color w:val="000000"/>
          <w:sz w:val="20"/>
          <w:szCs w:val="20"/>
        </w:rPr>
        <w:t xml:space="preserve"> O ZDRUŽENEJ DODÁVKE ELEKTRINY, DISTRIBÚCIE ELEKTRINY A PREVZATIA ZODPOVEDNOSTI ZA ODCHÝLKU</w:t>
      </w:r>
      <w:r>
        <w:rPr>
          <w:rFonts w:ascii="Cambria" w:hAnsi="Cambria" w:cs="Cambria"/>
          <w:b/>
          <w:bCs/>
          <w:color w:val="000000"/>
          <w:sz w:val="20"/>
          <w:szCs w:val="20"/>
        </w:rPr>
        <w:t xml:space="preserve"> č. </w:t>
      </w:r>
      <w:r w:rsidR="00933791">
        <w:rPr>
          <w:rFonts w:ascii="Cambria" w:hAnsi="Cambria" w:cs="Cambria"/>
          <w:b/>
          <w:bCs/>
          <w:color w:val="000000"/>
          <w:sz w:val="20"/>
          <w:szCs w:val="20"/>
        </w:rPr>
        <w:t>1111405</w:t>
      </w:r>
    </w:p>
    <w:p w:rsidR="006C2385" w:rsidRDefault="006C2385" w:rsidP="006F0472">
      <w:pPr>
        <w:autoSpaceDE w:val="0"/>
        <w:autoSpaceDN w:val="0"/>
        <w:adjustRightInd w:val="0"/>
        <w:jc w:val="center"/>
        <w:rPr>
          <w:rFonts w:ascii="Cambria" w:hAnsi="Cambria" w:cs="Cambria"/>
          <w:color w:val="000000"/>
          <w:sz w:val="20"/>
          <w:szCs w:val="20"/>
        </w:rPr>
      </w:pPr>
      <w:r>
        <w:rPr>
          <w:rFonts w:ascii="Cambria" w:hAnsi="Cambria" w:cs="Cambria"/>
          <w:sz w:val="20"/>
          <w:szCs w:val="20"/>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Pr>
          <w:rFonts w:ascii="Cambria" w:hAnsi="Cambria" w:cs="Cambria"/>
          <w:color w:val="000000"/>
          <w:sz w:val="20"/>
          <w:szCs w:val="20"/>
        </w:rPr>
        <w:t xml:space="preserve"> (ďalej „Zmluva“)</w:t>
      </w:r>
    </w:p>
    <w:p w:rsidR="006C2385" w:rsidRDefault="006C2385" w:rsidP="006F0472">
      <w:pPr>
        <w:autoSpaceDE w:val="0"/>
        <w:autoSpaceDN w:val="0"/>
        <w:adjustRightInd w:val="0"/>
        <w:jc w:val="both"/>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 xml:space="preserve">I. </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Zmluvné strany</w:t>
      </w:r>
    </w:p>
    <w:p w:rsidR="006C2385" w:rsidRDefault="006C2385" w:rsidP="006F0472">
      <w:pPr>
        <w:autoSpaceDE w:val="0"/>
        <w:autoSpaceDN w:val="0"/>
        <w:adjustRightInd w:val="0"/>
        <w:jc w:val="both"/>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b/>
          <w:bCs/>
          <w:color w:val="000000"/>
          <w:sz w:val="20"/>
          <w:szCs w:val="20"/>
        </w:rPr>
      </w:pPr>
      <w:r>
        <w:rPr>
          <w:rFonts w:ascii="Cambria" w:hAnsi="Cambria" w:cs="Cambria"/>
          <w:b/>
          <w:bCs/>
          <w:color w:val="000000"/>
          <w:sz w:val="20"/>
          <w:szCs w:val="20"/>
        </w:rPr>
        <w:t xml:space="preserve">Odberateľ: </w:t>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sidR="00046444">
        <w:rPr>
          <w:rFonts w:ascii="Cambria" w:hAnsi="Cambria" w:cs="Cambria"/>
          <w:b/>
          <w:bCs/>
          <w:color w:val="000000"/>
          <w:sz w:val="20"/>
          <w:szCs w:val="20"/>
        </w:rPr>
        <w:t xml:space="preserve">Základná škola, </w:t>
      </w:r>
      <w:r w:rsidR="00933791">
        <w:rPr>
          <w:rFonts w:ascii="Cambria" w:hAnsi="Cambria" w:cs="Cambria"/>
          <w:b/>
          <w:bCs/>
          <w:color w:val="000000"/>
          <w:sz w:val="20"/>
          <w:szCs w:val="20"/>
        </w:rPr>
        <w:t>Škultétyho 2326/11, Topoľčany</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Sídlo: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00933791">
        <w:rPr>
          <w:rFonts w:ascii="Cambria" w:hAnsi="Cambria" w:cs="Cambria"/>
          <w:color w:val="000000"/>
          <w:sz w:val="20"/>
          <w:szCs w:val="20"/>
        </w:rPr>
        <w:t>Škultétyho 2326/11, 955 01 Topoľčany</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Štatutárny orgán: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00933791">
        <w:rPr>
          <w:rFonts w:ascii="Cambria" w:hAnsi="Cambria" w:cs="Cambria"/>
          <w:color w:val="000000"/>
          <w:sz w:val="20"/>
          <w:szCs w:val="20"/>
        </w:rPr>
        <w:t>Mgr. Mária Bezáková – riaditeľka školy</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Zástupca na rokovanie vo veciach:</w:t>
      </w:r>
      <w:r>
        <w:rPr>
          <w:rFonts w:ascii="Cambria" w:hAnsi="Cambria" w:cs="Cambria"/>
          <w:color w:val="000000"/>
          <w:sz w:val="20"/>
          <w:szCs w:val="20"/>
        </w:rPr>
        <w:tab/>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a) zmluvných: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00933791">
        <w:rPr>
          <w:rFonts w:ascii="Cambria" w:hAnsi="Cambria" w:cs="Cambria"/>
          <w:color w:val="000000"/>
          <w:sz w:val="20"/>
          <w:szCs w:val="20"/>
        </w:rPr>
        <w:t xml:space="preserve">Mgr. Mária Bezáková </w:t>
      </w:r>
      <w:r w:rsidR="00046444">
        <w:rPr>
          <w:rFonts w:ascii="Cambria" w:hAnsi="Cambria" w:cs="Cambria"/>
          <w:color w:val="000000"/>
          <w:sz w:val="20"/>
          <w:szCs w:val="20"/>
        </w:rPr>
        <w:t>– riaditeľka školy</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b) technických: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00933791">
        <w:rPr>
          <w:rFonts w:ascii="Cambria" w:hAnsi="Cambria" w:cs="Cambria"/>
          <w:color w:val="000000"/>
          <w:sz w:val="20"/>
          <w:szCs w:val="20"/>
        </w:rPr>
        <w:t xml:space="preserve">Mgr. Mária Bezáková </w:t>
      </w:r>
      <w:r w:rsidR="00046444">
        <w:rPr>
          <w:rFonts w:ascii="Cambria" w:hAnsi="Cambria" w:cs="Cambria"/>
          <w:color w:val="000000"/>
          <w:sz w:val="20"/>
          <w:szCs w:val="20"/>
        </w:rPr>
        <w:t>– riaditeľka školy</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IČO: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00933791">
        <w:rPr>
          <w:rFonts w:ascii="Cambria" w:hAnsi="Cambria" w:cs="Cambria"/>
          <w:color w:val="000000"/>
          <w:sz w:val="20"/>
          <w:szCs w:val="20"/>
        </w:rPr>
        <w:t>37860763</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DIČ:</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00933791">
        <w:rPr>
          <w:rFonts w:ascii="Cambria" w:hAnsi="Cambria" w:cs="Cambria"/>
          <w:color w:val="000000"/>
          <w:sz w:val="20"/>
          <w:szCs w:val="20"/>
        </w:rPr>
        <w:t>2021603980</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IČ DPH: </w:t>
      </w:r>
    </w:p>
    <w:p w:rsidR="00046444" w:rsidRDefault="00046444"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Tel. kontakt:</w:t>
      </w:r>
    </w:p>
    <w:p w:rsidR="00046444" w:rsidRDefault="00046444"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E-mail:</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Bankové spojenie: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(ďalej „odberateľ“)</w:t>
      </w:r>
    </w:p>
    <w:p w:rsidR="006C2385" w:rsidRDefault="006C2385" w:rsidP="006F0472">
      <w:pPr>
        <w:autoSpaceDE w:val="0"/>
        <w:autoSpaceDN w:val="0"/>
        <w:adjustRightInd w:val="0"/>
        <w:jc w:val="both"/>
        <w:rPr>
          <w:rFonts w:ascii="Cambria" w:hAnsi="Cambria" w:cs="Cambria"/>
          <w:b/>
          <w:bCs/>
          <w:color w:val="000000"/>
          <w:sz w:val="20"/>
          <w:szCs w:val="20"/>
        </w:rPr>
      </w:pPr>
    </w:p>
    <w:p w:rsidR="002E3859" w:rsidRDefault="002E3859" w:rsidP="002E3859">
      <w:pPr>
        <w:autoSpaceDE w:val="0"/>
        <w:autoSpaceDN w:val="0"/>
        <w:adjustRightInd w:val="0"/>
        <w:jc w:val="both"/>
        <w:rPr>
          <w:rFonts w:ascii="Cambria" w:hAnsi="Cambria" w:cs="Cambria"/>
          <w:b/>
          <w:bCs/>
          <w:color w:val="000000"/>
          <w:sz w:val="20"/>
          <w:szCs w:val="20"/>
        </w:rPr>
      </w:pPr>
      <w:r>
        <w:rPr>
          <w:rFonts w:ascii="Cambria" w:hAnsi="Cambria" w:cs="Cambria"/>
          <w:b/>
          <w:bCs/>
          <w:color w:val="000000"/>
          <w:sz w:val="20"/>
          <w:szCs w:val="20"/>
        </w:rPr>
        <w:t>Dodávateľ:</w:t>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t xml:space="preserve">Energie2, a.s. </w:t>
      </w: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Sídlo: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proofErr w:type="spellStart"/>
      <w:r>
        <w:rPr>
          <w:rFonts w:ascii="Cambria" w:hAnsi="Cambria" w:cs="Cambria"/>
          <w:color w:val="000000"/>
          <w:sz w:val="20"/>
          <w:szCs w:val="20"/>
        </w:rPr>
        <w:t>Lazaretská</w:t>
      </w:r>
      <w:proofErr w:type="spellEnd"/>
      <w:r>
        <w:rPr>
          <w:rFonts w:ascii="Cambria" w:hAnsi="Cambria" w:cs="Cambria"/>
          <w:color w:val="000000"/>
          <w:sz w:val="20"/>
          <w:szCs w:val="20"/>
        </w:rPr>
        <w:t xml:space="preserve"> 3a, 811 08 Bratislava</w:t>
      </w: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Poštová adresa:</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Pod Kalváriou 18, 955 01 Topoľčany </w:t>
      </w: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Zapísaná:</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OR, OS Bratislava I, oddiel: </w:t>
      </w:r>
      <w:proofErr w:type="spellStart"/>
      <w:r>
        <w:rPr>
          <w:rFonts w:ascii="Cambria" w:hAnsi="Cambria" w:cs="Cambria"/>
          <w:color w:val="000000"/>
          <w:sz w:val="20"/>
          <w:szCs w:val="20"/>
        </w:rPr>
        <w:t>As</w:t>
      </w:r>
      <w:proofErr w:type="spellEnd"/>
      <w:r>
        <w:rPr>
          <w:rFonts w:ascii="Cambria" w:hAnsi="Cambria" w:cs="Cambria"/>
          <w:color w:val="000000"/>
          <w:sz w:val="20"/>
          <w:szCs w:val="20"/>
        </w:rPr>
        <w:t xml:space="preserve">, </w:t>
      </w:r>
      <w:proofErr w:type="spellStart"/>
      <w:r>
        <w:rPr>
          <w:rFonts w:ascii="Cambria" w:hAnsi="Cambria" w:cs="Cambria"/>
          <w:color w:val="000000"/>
          <w:sz w:val="20"/>
          <w:szCs w:val="20"/>
        </w:rPr>
        <w:t>vl</w:t>
      </w:r>
      <w:proofErr w:type="spellEnd"/>
      <w:r>
        <w:rPr>
          <w:rFonts w:ascii="Cambria" w:hAnsi="Cambria" w:cs="Cambria"/>
          <w:color w:val="000000"/>
          <w:sz w:val="20"/>
          <w:szCs w:val="20"/>
        </w:rPr>
        <w:t>. č. 5389/B</w:t>
      </w: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V zastúpení: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Mgr. Dávid Vlnka – člen predstavenstva</w:t>
      </w: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IČO:</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46113177</w:t>
      </w: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DIČ:</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2023235225 </w:t>
      </w: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IČ DPH:</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SK2023235225</w:t>
      </w:r>
    </w:p>
    <w:p w:rsidR="002E3859" w:rsidRDefault="00046444"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B</w:t>
      </w:r>
      <w:r w:rsidR="002E3859">
        <w:rPr>
          <w:rFonts w:ascii="Cambria" w:hAnsi="Cambria" w:cs="Cambria"/>
          <w:color w:val="000000"/>
          <w:sz w:val="20"/>
          <w:szCs w:val="20"/>
        </w:rPr>
        <w:t>ankové spojenie:</w:t>
      </w:r>
      <w:r w:rsidR="002E3859">
        <w:rPr>
          <w:rFonts w:ascii="Cambria" w:hAnsi="Cambria" w:cs="Cambria"/>
          <w:color w:val="000000"/>
          <w:sz w:val="20"/>
          <w:szCs w:val="20"/>
        </w:rPr>
        <w:tab/>
      </w:r>
      <w:r w:rsidR="002E3859">
        <w:rPr>
          <w:rFonts w:ascii="Cambria" w:hAnsi="Cambria" w:cs="Cambria"/>
          <w:color w:val="000000"/>
          <w:sz w:val="20"/>
          <w:szCs w:val="20"/>
        </w:rPr>
        <w:tab/>
      </w:r>
      <w:r w:rsidR="002E3859">
        <w:rPr>
          <w:rFonts w:ascii="Cambria" w:hAnsi="Cambria" w:cs="Cambria"/>
          <w:color w:val="000000"/>
          <w:sz w:val="20"/>
          <w:szCs w:val="20"/>
        </w:rPr>
        <w:tab/>
      </w:r>
      <w:r w:rsidR="002E3859" w:rsidRPr="00265BA9">
        <w:rPr>
          <w:rFonts w:ascii="Cambria" w:hAnsi="Cambria" w:cs="Cambria"/>
          <w:color w:val="000000"/>
          <w:sz w:val="20"/>
          <w:szCs w:val="20"/>
        </w:rPr>
        <w:t>SK7911110000001152848056</w:t>
      </w:r>
    </w:p>
    <w:p w:rsidR="002E3859" w:rsidRDefault="002E3859" w:rsidP="002E3859">
      <w:pPr>
        <w:autoSpaceDE w:val="0"/>
        <w:autoSpaceDN w:val="0"/>
        <w:adjustRightInd w:val="0"/>
        <w:jc w:val="both"/>
        <w:rPr>
          <w:rFonts w:ascii="Cambria" w:hAnsi="Cambria" w:cs="Cambria"/>
          <w:color w:val="000000"/>
          <w:sz w:val="20"/>
          <w:szCs w:val="20"/>
        </w:rPr>
      </w:pP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(ďalej „dodávateľ“)</w:t>
      </w:r>
    </w:p>
    <w:p w:rsidR="006C2385" w:rsidRDefault="006C2385" w:rsidP="006F0472">
      <w:pPr>
        <w:autoSpaceDE w:val="0"/>
        <w:autoSpaceDN w:val="0"/>
        <w:adjustRightInd w:val="0"/>
        <w:jc w:val="both"/>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II.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Predmet zmluvy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2.1 Predmetom Zmluvy je úprava práv a povinností zmluvných strán pri dodávaní elektriny vymedzenej množstvom a časovým priebehom výkonu, pri prevzatí zodpovednosti za odchýlku a pri zabezpečení distribúcie elektriny do zmluvou vymedzených odberných miest vrátane súvisiacich služieb spojených s dodávkou elektriny.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2.2 Dodávateľ sa zaväzuje po dobu platnosti tejto zmluvy:</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dodávať elektrinu do odberných miest odberateľa špecifikovaných v Prílohe č. 1 Zmluvy (ďalej </w:t>
      </w:r>
      <w:r>
        <w:rPr>
          <w:rFonts w:ascii="Cambria" w:hAnsi="Cambria" w:cs="Cambria"/>
          <w:color w:val="000000"/>
          <w:sz w:val="20"/>
          <w:szCs w:val="20"/>
        </w:rPr>
        <w:tab/>
        <w:t>len „OM“) za podmienok dohodnutých v Zmluve,</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b) prevziať za odberateľa zodpovednosť za odchýlku za odberné miesta odberateľa voči </w:t>
      </w:r>
      <w:r>
        <w:rPr>
          <w:rFonts w:ascii="Cambria" w:hAnsi="Cambria" w:cs="Cambria"/>
          <w:color w:val="000000"/>
          <w:sz w:val="20"/>
          <w:szCs w:val="20"/>
        </w:rPr>
        <w:tab/>
      </w:r>
      <w:proofErr w:type="spellStart"/>
      <w:r>
        <w:rPr>
          <w:rFonts w:ascii="Cambria" w:hAnsi="Cambria" w:cs="Cambria"/>
          <w:color w:val="000000"/>
          <w:sz w:val="20"/>
          <w:szCs w:val="20"/>
        </w:rPr>
        <w:t>zúčtovateľovi</w:t>
      </w:r>
      <w:proofErr w:type="spellEnd"/>
      <w:r>
        <w:rPr>
          <w:rFonts w:ascii="Cambria" w:hAnsi="Cambria" w:cs="Cambria"/>
          <w:color w:val="000000"/>
          <w:sz w:val="20"/>
          <w:szCs w:val="20"/>
        </w:rPr>
        <w:t xml:space="preserve"> odchýlok,</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c) zabezpečiť pre odberateľa distribúciu elektriny a ostatné služby spojené s dodávkou elektriny </w:t>
      </w:r>
      <w:r>
        <w:rPr>
          <w:rFonts w:ascii="Cambria" w:hAnsi="Cambria" w:cs="Cambria"/>
          <w:color w:val="000000"/>
          <w:sz w:val="20"/>
          <w:szCs w:val="20"/>
        </w:rPr>
        <w:tab/>
        <w:t xml:space="preserve">(ďalej len „distribučné služby“ v príslušnom gramatickom tvare) od príslušného prevádzkovateľa </w:t>
      </w:r>
      <w:r>
        <w:rPr>
          <w:rFonts w:ascii="Cambria" w:hAnsi="Cambria" w:cs="Cambria"/>
          <w:color w:val="000000"/>
          <w:sz w:val="20"/>
          <w:szCs w:val="20"/>
        </w:rPr>
        <w:tab/>
        <w:t>distribučnej sústavy</w:t>
      </w:r>
    </w:p>
    <w:p w:rsidR="006C2385" w:rsidRDefault="006C2385" w:rsidP="006F0472">
      <w:pPr>
        <w:jc w:val="both"/>
        <w:rPr>
          <w:rFonts w:ascii="Cambria" w:hAnsi="Cambria" w:cs="Cambria"/>
          <w:sz w:val="20"/>
          <w:szCs w:val="20"/>
        </w:rPr>
      </w:pPr>
      <w:r>
        <w:rPr>
          <w:rFonts w:ascii="Cambria" w:hAnsi="Cambria" w:cs="Cambria"/>
          <w:sz w:val="20"/>
          <w:szCs w:val="20"/>
        </w:rPr>
        <w:tab/>
        <w:t xml:space="preserve">d) garantovať kontinuitu dodávky elektrickej energie po celú dobu plnenia zmluvy o združenej </w:t>
      </w:r>
      <w:r>
        <w:rPr>
          <w:rFonts w:ascii="Cambria" w:hAnsi="Cambria" w:cs="Cambria"/>
          <w:sz w:val="20"/>
          <w:szCs w:val="20"/>
        </w:rPr>
        <w:tab/>
        <w:t xml:space="preserve">dodávke elektriny, ako aj pri zmene dodávateľa elektriny, okrem vyššej moci, plánovaných </w:t>
      </w:r>
    </w:p>
    <w:p w:rsidR="006C2385" w:rsidRDefault="006C2385" w:rsidP="006F0472">
      <w:pPr>
        <w:ind w:firstLine="708"/>
        <w:jc w:val="both"/>
        <w:rPr>
          <w:rFonts w:ascii="Cambria" w:hAnsi="Cambria" w:cs="Cambria"/>
          <w:sz w:val="20"/>
          <w:szCs w:val="20"/>
        </w:rPr>
      </w:pPr>
      <w:r>
        <w:rPr>
          <w:rFonts w:ascii="Cambria" w:hAnsi="Cambria" w:cs="Cambria"/>
          <w:sz w:val="20"/>
          <w:szCs w:val="20"/>
        </w:rPr>
        <w:t xml:space="preserve">odstávok a vzniknutých porúch, </w:t>
      </w:r>
    </w:p>
    <w:p w:rsidR="006C2385" w:rsidRDefault="006C2385" w:rsidP="006F0472">
      <w:pPr>
        <w:jc w:val="both"/>
        <w:rPr>
          <w:rFonts w:ascii="Cambria" w:hAnsi="Cambria" w:cs="Cambria"/>
          <w:sz w:val="20"/>
          <w:szCs w:val="20"/>
        </w:rPr>
      </w:pPr>
      <w:r>
        <w:rPr>
          <w:rFonts w:ascii="Cambria" w:hAnsi="Cambria" w:cs="Cambria"/>
          <w:sz w:val="20"/>
          <w:szCs w:val="20"/>
        </w:rPr>
        <w:tab/>
        <w:t>e) garantovať dostupnosť osobného zástupcu dodávateľa pre operatívne riešenie technických</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sz w:val="20"/>
          <w:szCs w:val="20"/>
        </w:rPr>
        <w:lastRenderedPageBreak/>
        <w:tab/>
        <w:t>problémov (meno a telefonický kontakt)</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f) spĺňať ďalšie požiadavky Odberateľa určené v tejto Zmluve a jej prílohách.</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2.3 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III.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Dodávka elektriny</w:t>
      </w:r>
    </w:p>
    <w:p w:rsidR="006C2385" w:rsidRDefault="006C2385" w:rsidP="006F0472">
      <w:pPr>
        <w:autoSpaceDE w:val="0"/>
        <w:autoSpaceDN w:val="0"/>
        <w:adjustRightInd w:val="0"/>
        <w:jc w:val="center"/>
        <w:rPr>
          <w:rFonts w:ascii="Cambria" w:hAnsi="Cambria" w:cs="Cambria"/>
          <w:b/>
          <w:bCs/>
          <w:color w:val="000000"/>
          <w:sz w:val="20"/>
          <w:szCs w:val="20"/>
        </w:rPr>
      </w:pPr>
    </w:p>
    <w:p w:rsidR="003A2462"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3.1 Dodávateľ sa </w:t>
      </w:r>
      <w:r w:rsidRPr="00974AED">
        <w:rPr>
          <w:rFonts w:ascii="Cambria" w:hAnsi="Cambria" w:cs="Cambria"/>
          <w:color w:val="000000"/>
          <w:sz w:val="20"/>
          <w:szCs w:val="20"/>
        </w:rPr>
        <w:t xml:space="preserve">zaväzuje, že bude odberateľovi dodávať predmet </w:t>
      </w:r>
      <w:r>
        <w:rPr>
          <w:rFonts w:ascii="Cambria" w:hAnsi="Cambria" w:cs="Cambria"/>
          <w:color w:val="000000"/>
          <w:sz w:val="20"/>
          <w:szCs w:val="20"/>
        </w:rPr>
        <w:t xml:space="preserve">zmluvy nepretržite od 1. 1. 2018 do </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31. 12. </w:t>
      </w:r>
      <w:smartTag w:uri="urn:schemas-microsoft-com:office:smarttags" w:element="metricconverter">
        <w:smartTagPr>
          <w:attr w:name="ProductID" w:val="2020 a"/>
        </w:smartTagPr>
        <w:r>
          <w:rPr>
            <w:rFonts w:ascii="Cambria" w:hAnsi="Cambria" w:cs="Cambria"/>
            <w:color w:val="000000"/>
            <w:sz w:val="20"/>
            <w:szCs w:val="20"/>
          </w:rPr>
          <w:t>2020</w:t>
        </w:r>
        <w:r w:rsidRPr="00974AED">
          <w:rPr>
            <w:rFonts w:ascii="Cambria" w:hAnsi="Cambria" w:cs="Cambria"/>
            <w:color w:val="000000"/>
            <w:sz w:val="20"/>
            <w:szCs w:val="20"/>
          </w:rPr>
          <w:t xml:space="preserve"> a</w:t>
        </w:r>
      </w:smartTag>
      <w:r w:rsidRPr="00974AED">
        <w:rPr>
          <w:rFonts w:ascii="Cambria" w:hAnsi="Cambria" w:cs="Cambria"/>
          <w:color w:val="000000"/>
          <w:sz w:val="20"/>
          <w:szCs w:val="20"/>
        </w:rPr>
        <w:t xml:space="preserve"> za</w:t>
      </w:r>
      <w:r>
        <w:rPr>
          <w:rFonts w:ascii="Cambria" w:hAnsi="Cambria" w:cs="Cambria"/>
          <w:color w:val="000000"/>
          <w:sz w:val="20"/>
          <w:szCs w:val="20"/>
        </w:rPr>
        <w:t xml:space="preserve"> podmienok uvedených v tejto zmluve.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3.2 Celkové množstvo dodávanej elektriny, ako aj jednotlivé množstvá podľa OM, sú uvedené v prílohe č. 1 tejto Zmluvy.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3.3. Odberateľ si vyhradzuje právo meniť počty odberných miest v závislosti od jeho reálnych potrieb alebo pri vzniku okolností, ktoré odberateľ nemohol pri podpise tejto zmluvy predvídať. K zmenám počtu odberných miest dôjde:</w:t>
      </w:r>
    </w:p>
    <w:p w:rsidR="006C2385" w:rsidRDefault="006C2385" w:rsidP="006F0472">
      <w:pPr>
        <w:numPr>
          <w:ilvl w:val="0"/>
          <w:numId w:val="1"/>
        </w:num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pri zriadení nových odberných miest formou oznámenia odberateľa doručeného dodávateľovi písomne v listinnej podobe, pričom na nové odberné miesta sa budú automaticky vzťahovať ustanovenia tejto Zmluvy </w:t>
      </w:r>
    </w:p>
    <w:p w:rsidR="006C2385" w:rsidRDefault="006C2385" w:rsidP="006F0472">
      <w:pPr>
        <w:numPr>
          <w:ilvl w:val="0"/>
          <w:numId w:val="1"/>
        </w:num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3.4 Celkové množstvo elektriny je definované ako spoločné zmluvné množstvo (ďalej len „SZM“) dodanej elektriny, ktoré sa dodávateľ zaväzuje dodať do odberných miest odberateľa. Dodávateľ je povinný toto SZM dodanej elektriny zabezpečiť. Odberateľ sa zaväzuje SZM dodanej elektriny od Dodávateľa odobrať v pripojených odberných miestach.</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 tiež považuje odber elektriny v rozpore s touto Zmluvou.</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3.6 Dodávka elektriny je splnená prechodom elektriny určeným meradlom.</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3.7 Dodávateľ je povinný plniť záväzky vyplývajúce</w:t>
      </w:r>
      <w:r w:rsidR="00F82B08">
        <w:rPr>
          <w:rFonts w:ascii="Cambria" w:hAnsi="Cambria" w:cs="Cambria"/>
          <w:color w:val="000000"/>
          <w:sz w:val="20"/>
          <w:szCs w:val="20"/>
        </w:rPr>
        <w:t xml:space="preserve"> z tejto zmluvy, ak je odberné miesto odberateľa pripojené</w:t>
      </w:r>
      <w:r>
        <w:rPr>
          <w:rFonts w:ascii="Cambria" w:hAnsi="Cambria" w:cs="Cambria"/>
          <w:color w:val="000000"/>
          <w:sz w:val="20"/>
          <w:szCs w:val="20"/>
        </w:rPr>
        <w:t xml:space="preserve"> k distribučnej sústave prevádzkovateľa distribučnej sústavy.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IV.</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Určenie ceny a platobných podmienok</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4.1 Odberateľ je povinný zaplatiť dodávateľovi cenu za dodávku elektriny a súvisiace plnenia</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(ďalej len Cena“) pozostávajúcu z týchto položiek:</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cena za dodávku silovej elektriny </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cena za distribúciu a pre</w:t>
      </w:r>
      <w:r w:rsidR="00F82B08">
        <w:rPr>
          <w:rFonts w:ascii="Cambria" w:hAnsi="Cambria" w:cs="Cambria"/>
          <w:color w:val="000000"/>
          <w:sz w:val="20"/>
          <w:szCs w:val="20"/>
        </w:rPr>
        <w:t>nos</w:t>
      </w:r>
      <w:r>
        <w:rPr>
          <w:rFonts w:ascii="Cambria" w:hAnsi="Cambria" w:cs="Cambria"/>
          <w:color w:val="000000"/>
          <w:sz w:val="20"/>
          <w:szCs w:val="20"/>
        </w:rPr>
        <w:t xml:space="preserve"> elektriny</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spotrebná daň a daň z pridanej hodnoty (ďalej len „DPH“)</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4.2 Cena za dodávku silovej elektriny bola dohodnutá zmluvnými stranami na obdobie platnosti zmluvy vo výške:</w:t>
      </w:r>
    </w:p>
    <w:p w:rsidR="006C2385" w:rsidRDefault="006C2385" w:rsidP="006F0472">
      <w:pPr>
        <w:autoSpaceDE w:val="0"/>
        <w:autoSpaceDN w:val="0"/>
        <w:adjustRightInd w:val="0"/>
        <w:jc w:val="both"/>
        <w:rPr>
          <w:rFonts w:ascii="Cambria" w:hAnsi="Cambria" w:cs="Cambria"/>
          <w:b/>
          <w:bCs/>
          <w:color w:val="000000"/>
          <w:sz w:val="20"/>
          <w:szCs w:val="20"/>
        </w:rPr>
      </w:pPr>
      <w:r>
        <w:rPr>
          <w:rFonts w:ascii="Cambria" w:hAnsi="Cambria" w:cs="Cambria"/>
          <w:b/>
          <w:bCs/>
          <w:color w:val="000000"/>
          <w:sz w:val="20"/>
          <w:szCs w:val="20"/>
        </w:rPr>
        <w:t xml:space="preserve">Silová energia – </w:t>
      </w:r>
      <w:proofErr w:type="spellStart"/>
      <w:r>
        <w:rPr>
          <w:rFonts w:ascii="Cambria" w:hAnsi="Cambria" w:cs="Cambria"/>
          <w:b/>
          <w:bCs/>
          <w:color w:val="000000"/>
          <w:sz w:val="20"/>
          <w:szCs w:val="20"/>
        </w:rPr>
        <w:t>jednotarif</w:t>
      </w:r>
      <w:proofErr w:type="spellEnd"/>
      <w:r>
        <w:rPr>
          <w:rFonts w:ascii="Cambria" w:hAnsi="Cambria" w:cs="Cambria"/>
          <w:b/>
          <w:bCs/>
          <w:color w:val="000000"/>
          <w:sz w:val="20"/>
          <w:szCs w:val="20"/>
        </w:rPr>
        <w:t>:</w:t>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sidR="00EB6860">
        <w:rPr>
          <w:rFonts w:ascii="Cambria" w:hAnsi="Cambria" w:cs="Cambria"/>
          <w:b/>
          <w:bCs/>
          <w:color w:val="000000"/>
          <w:sz w:val="20"/>
          <w:szCs w:val="20"/>
        </w:rPr>
        <w:t>46,5</w:t>
      </w:r>
      <w:bookmarkStart w:id="0" w:name="_GoBack"/>
      <w:bookmarkEnd w:id="0"/>
      <w:r w:rsidR="003E2F63">
        <w:rPr>
          <w:rFonts w:ascii="Cambria" w:hAnsi="Cambria" w:cs="Cambria"/>
          <w:b/>
          <w:bCs/>
          <w:color w:val="000000"/>
          <w:sz w:val="20"/>
          <w:szCs w:val="20"/>
        </w:rPr>
        <w:t>0</w:t>
      </w:r>
      <w:r>
        <w:rPr>
          <w:rFonts w:ascii="Cambria" w:hAnsi="Cambria" w:cs="Cambria"/>
          <w:b/>
          <w:bCs/>
          <w:color w:val="000000"/>
          <w:sz w:val="20"/>
          <w:szCs w:val="20"/>
        </w:rPr>
        <w:t xml:space="preserve"> EUR/1MWh bez DPH</w:t>
      </w:r>
    </w:p>
    <w:p w:rsidR="006C2385" w:rsidRDefault="006C2385" w:rsidP="006F0472">
      <w:pPr>
        <w:autoSpaceDE w:val="0"/>
        <w:autoSpaceDN w:val="0"/>
        <w:adjustRightInd w:val="0"/>
        <w:jc w:val="both"/>
        <w:rPr>
          <w:rFonts w:ascii="Cambria" w:hAnsi="Cambria" w:cs="Cambria"/>
          <w:b/>
          <w:bCs/>
          <w:color w:val="000000"/>
          <w:sz w:val="20"/>
          <w:szCs w:val="20"/>
        </w:rPr>
      </w:pPr>
      <w:r>
        <w:rPr>
          <w:rFonts w:ascii="Cambria" w:hAnsi="Cambria" w:cs="Cambria"/>
          <w:b/>
          <w:bCs/>
          <w:color w:val="000000"/>
          <w:sz w:val="20"/>
          <w:szCs w:val="20"/>
        </w:rPr>
        <w:t>Silová energia – verejné osvetlenie</w:t>
      </w:r>
      <w:r>
        <w:rPr>
          <w:rFonts w:ascii="Cambria" w:hAnsi="Cambria" w:cs="Cambria"/>
          <w:b/>
          <w:bCs/>
          <w:color w:val="000000"/>
          <w:sz w:val="20"/>
          <w:szCs w:val="20"/>
        </w:rPr>
        <w:tab/>
      </w:r>
      <w:r>
        <w:rPr>
          <w:rFonts w:ascii="Cambria" w:hAnsi="Cambria" w:cs="Cambria"/>
          <w:b/>
          <w:bCs/>
          <w:color w:val="000000"/>
          <w:sz w:val="20"/>
          <w:szCs w:val="20"/>
        </w:rPr>
        <w:tab/>
      </w:r>
      <w:r w:rsidR="003E2F63">
        <w:rPr>
          <w:rFonts w:ascii="Cambria" w:hAnsi="Cambria" w:cs="Cambria"/>
          <w:b/>
          <w:bCs/>
          <w:color w:val="000000"/>
          <w:sz w:val="20"/>
          <w:szCs w:val="20"/>
        </w:rPr>
        <w:t>36,50</w:t>
      </w:r>
      <w:r>
        <w:rPr>
          <w:rFonts w:ascii="Cambria" w:hAnsi="Cambria" w:cs="Cambria"/>
          <w:b/>
          <w:bCs/>
          <w:color w:val="000000"/>
          <w:sz w:val="20"/>
          <w:szCs w:val="20"/>
        </w:rPr>
        <w:t xml:space="preserve"> EUR/1MWh bez DPH</w:t>
      </w:r>
    </w:p>
    <w:p w:rsidR="00EB6860" w:rsidRDefault="00EB6860" w:rsidP="00EB6860">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lastRenderedPageBreak/>
        <w:t>Cena bola určená ako výsledok verejnej súťaže, vyhlásenej v Úradnom vestníku Európskej únie č. S 177 zo dňa 15.09.2017 pod číslom oznámenia 2017/S 177-362015 a konečná cena bola stanovená na základe elektronickej aukcie.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4.3 Dodávateľ preberá zodpovednosť za odchýlky v plnom rozsahu.</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4.4 Vyhodnotenie odberu elektriny sa uskutoční za každé odberné miesto ku koncu kalendárneho roka. </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4.5 Odberateľ deklaruje, že ak nenastanú nepredvídané okolnosti, tak bude odoberať minimálne 80% a maximálne 120% objednanej elektriny. Dodávateľ nemá právo pri nedodržaní týchto minimálnych a maximálnych množstiev účtovať za </w:t>
      </w:r>
      <w:proofErr w:type="spellStart"/>
      <w:r>
        <w:rPr>
          <w:rFonts w:ascii="Cambria" w:hAnsi="Cambria" w:cs="Cambria"/>
          <w:color w:val="000000"/>
          <w:sz w:val="20"/>
          <w:szCs w:val="20"/>
        </w:rPr>
        <w:t>pododber</w:t>
      </w:r>
      <w:proofErr w:type="spellEnd"/>
      <w:r>
        <w:rPr>
          <w:rFonts w:ascii="Cambria" w:hAnsi="Cambria" w:cs="Cambria"/>
          <w:color w:val="000000"/>
          <w:sz w:val="20"/>
          <w:szCs w:val="20"/>
        </w:rPr>
        <w:t xml:space="preserve"> alebo </w:t>
      </w:r>
      <w:proofErr w:type="spellStart"/>
      <w:r>
        <w:rPr>
          <w:rFonts w:ascii="Cambria" w:hAnsi="Cambria" w:cs="Cambria"/>
          <w:color w:val="000000"/>
          <w:sz w:val="20"/>
          <w:szCs w:val="20"/>
        </w:rPr>
        <w:t>nadodber</w:t>
      </w:r>
      <w:proofErr w:type="spellEnd"/>
      <w:r>
        <w:rPr>
          <w:rFonts w:ascii="Cambria" w:hAnsi="Cambria" w:cs="Cambria"/>
          <w:color w:val="000000"/>
          <w:sz w:val="20"/>
          <w:szCs w:val="20"/>
        </w:rPr>
        <w:t xml:space="preserve"> ceny vyššie ako boli stanovené na základe výsledkov verejnej súťaže, identifikovanej v bode 4.2. Zmluvy, ani nemá právo si uplatňovať iné sankcie za </w:t>
      </w:r>
      <w:proofErr w:type="spellStart"/>
      <w:r>
        <w:rPr>
          <w:rFonts w:ascii="Cambria" w:hAnsi="Cambria" w:cs="Cambria"/>
          <w:color w:val="000000"/>
          <w:sz w:val="20"/>
          <w:szCs w:val="20"/>
        </w:rPr>
        <w:t>pododber</w:t>
      </w:r>
      <w:proofErr w:type="spellEnd"/>
      <w:r>
        <w:rPr>
          <w:rFonts w:ascii="Cambria" w:hAnsi="Cambria" w:cs="Cambria"/>
          <w:color w:val="000000"/>
          <w:sz w:val="20"/>
          <w:szCs w:val="20"/>
        </w:rPr>
        <w:t xml:space="preserve"> alebo </w:t>
      </w:r>
      <w:proofErr w:type="spellStart"/>
      <w:r>
        <w:rPr>
          <w:rFonts w:ascii="Cambria" w:hAnsi="Cambria" w:cs="Cambria"/>
          <w:color w:val="000000"/>
          <w:sz w:val="20"/>
          <w:szCs w:val="20"/>
        </w:rPr>
        <w:t>nadodber</w:t>
      </w:r>
      <w:proofErr w:type="spellEnd"/>
      <w:r>
        <w:rPr>
          <w:rFonts w:ascii="Cambria" w:hAnsi="Cambria" w:cs="Cambria"/>
          <w:color w:val="000000"/>
          <w:sz w:val="20"/>
          <w:szCs w:val="20"/>
        </w:rPr>
        <w:t>.</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4.6 Ceny za dodávku silovej elektriny, uvedené v tejto Zmluve, neobsahujú spotrebnú daň z elektriny (ďalej len „</w:t>
      </w:r>
      <w:proofErr w:type="spellStart"/>
      <w:r>
        <w:rPr>
          <w:rFonts w:ascii="Cambria" w:hAnsi="Cambria" w:cs="Cambria"/>
          <w:color w:val="000000"/>
          <w:sz w:val="20"/>
          <w:szCs w:val="20"/>
        </w:rPr>
        <w:t>SpD</w:t>
      </w:r>
      <w:proofErr w:type="spellEnd"/>
      <w:r>
        <w:rPr>
          <w:rFonts w:ascii="Cambria" w:hAnsi="Cambria" w:cs="Cambria"/>
          <w:color w:val="000000"/>
          <w:sz w:val="20"/>
          <w:szCs w:val="20"/>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neskorších predpisov (ďalej len „zákon o dani z pridanej hodnoty") a poplatky za distribučné služby.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4.7 K cenám za dodávku silovej elektriny sa pri fakturácii pripočítava </w:t>
      </w:r>
      <w:proofErr w:type="spellStart"/>
      <w:r>
        <w:rPr>
          <w:rFonts w:ascii="Cambria" w:hAnsi="Cambria" w:cs="Cambria"/>
          <w:color w:val="000000"/>
          <w:sz w:val="20"/>
          <w:szCs w:val="20"/>
        </w:rPr>
        <w:t>SpD</w:t>
      </w:r>
      <w:proofErr w:type="spellEnd"/>
      <w:r>
        <w:rPr>
          <w:rFonts w:ascii="Cambria" w:hAnsi="Cambria" w:cs="Cambria"/>
          <w:color w:val="000000"/>
          <w:sz w:val="20"/>
          <w:szCs w:val="20"/>
        </w:rPr>
        <w:t xml:space="preserve"> v sadzbách platných ku dňu uskutočnenia zdaniteľného plnenia a DPH v súlade s účinným zákonom o dani z pridanej hodnoty v sadzbách platných ku dňu uskutočnenia zdaniteľného plnenia a poplatky za distribučné služby.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4.8. Platby za distribučné služby sú predmetom regulácie zo strany ÚRSO.</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4.9. Ak dôjde k zmene regulovaných cien na základe zmeny cenového rozhodnutia ÚRSO počas zmluvného obdobia, Dodávateľ je povinný účtovať Odberateľovi ceny v súlade s podmienkami príslušného nového cenového rozhodnutia ÚRSO.</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4.10 Úhrady uskutočňuje Odberateľ bezhotovostným platobným stykom na účet Dodávateľa uvedenom v záhlaví Zmluvy. Odberateľ bude v platobnom styku používať variabilný symbol uvedený v príslušnej faktúre.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4.11.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rsidR="006C2385" w:rsidRDefault="006C2385" w:rsidP="006F0472">
      <w:pPr>
        <w:autoSpaceDE w:val="0"/>
        <w:autoSpaceDN w:val="0"/>
        <w:adjustRightInd w:val="0"/>
        <w:jc w:val="both"/>
        <w:rPr>
          <w:rFonts w:ascii="Cambria" w:hAnsi="Cambria" w:cs="Cambria"/>
          <w:color w:val="000000"/>
          <w:sz w:val="20"/>
          <w:szCs w:val="20"/>
        </w:rPr>
      </w:pPr>
    </w:p>
    <w:p w:rsidR="00582047"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w:t>
      </w:r>
      <w:r w:rsidR="00582047">
        <w:rPr>
          <w:rFonts w:ascii="Cambria" w:hAnsi="Cambria" w:cs="Cambria"/>
          <w:color w:val="000000"/>
          <w:sz w:val="20"/>
          <w:szCs w:val="20"/>
        </w:rPr>
        <w:t xml:space="preserve"> minimálne</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údaje podľa § 71 zákona č. 222/2004 </w:t>
      </w:r>
      <w:proofErr w:type="spellStart"/>
      <w:r>
        <w:rPr>
          <w:rFonts w:ascii="Cambria" w:hAnsi="Cambria" w:cs="Cambria"/>
          <w:color w:val="000000"/>
          <w:sz w:val="20"/>
          <w:szCs w:val="20"/>
        </w:rPr>
        <w:t>Z.z</w:t>
      </w:r>
      <w:proofErr w:type="spellEnd"/>
      <w:r>
        <w:rPr>
          <w:rFonts w:ascii="Cambria" w:hAnsi="Cambria" w:cs="Cambria"/>
          <w:color w:val="000000"/>
          <w:sz w:val="20"/>
          <w:szCs w:val="20"/>
        </w:rPr>
        <w:t xml:space="preserve">. o dani z pridanej hodnoty a podľa zákona č. </w:t>
      </w:r>
      <w:r>
        <w:rPr>
          <w:rFonts w:ascii="Cambria" w:hAnsi="Cambria" w:cs="Cambria"/>
          <w:color w:val="000000"/>
          <w:sz w:val="20"/>
          <w:szCs w:val="20"/>
        </w:rPr>
        <w:tab/>
        <w:t>431/2002 Z. z. o účtovníctve v znení neskorších predpisov</w:t>
      </w:r>
      <w:r w:rsidR="00582047">
        <w:rPr>
          <w:rFonts w:ascii="Cambria" w:hAnsi="Cambria" w:cs="Cambria"/>
          <w:color w:val="000000"/>
          <w:sz w:val="20"/>
          <w:szCs w:val="20"/>
        </w:rPr>
        <w:t>,</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zoznam a identifikáciu odberných miest</w:t>
      </w:r>
      <w:r w:rsidR="00582047">
        <w:rPr>
          <w:rFonts w:ascii="Cambria" w:hAnsi="Cambria" w:cs="Cambria"/>
          <w:color w:val="000000"/>
          <w:sz w:val="20"/>
          <w:szCs w:val="20"/>
        </w:rPr>
        <w:t>,</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fakturova</w:t>
      </w:r>
      <w:r w:rsidR="00582047">
        <w:rPr>
          <w:rFonts w:ascii="Cambria" w:hAnsi="Cambria" w:cs="Cambria"/>
          <w:color w:val="000000"/>
          <w:sz w:val="20"/>
          <w:szCs w:val="20"/>
        </w:rPr>
        <w:t>nú sumu za každé odberné miesto.</w:t>
      </w:r>
    </w:p>
    <w:p w:rsidR="006C2385" w:rsidRPr="00E565BD" w:rsidRDefault="006C2385" w:rsidP="00582047">
      <w:pPr>
        <w:autoSpaceDE w:val="0"/>
        <w:autoSpaceDN w:val="0"/>
        <w:adjustRightInd w:val="0"/>
        <w:jc w:val="both"/>
        <w:rPr>
          <w:rFonts w:ascii="Cambria" w:hAnsi="Cambria" w:cs="Cambria"/>
          <w:color w:val="FF0000"/>
          <w:sz w:val="20"/>
          <w:szCs w:val="20"/>
        </w:rPr>
      </w:pPr>
      <w:r w:rsidRPr="00974AED">
        <w:rPr>
          <w:rFonts w:ascii="Cambria" w:hAnsi="Cambria" w:cs="Cambria"/>
          <w:color w:val="000000"/>
          <w:sz w:val="20"/>
          <w:szCs w:val="20"/>
        </w:rPr>
        <w:t>Zá</w:t>
      </w:r>
      <w:r w:rsidR="00582047">
        <w:rPr>
          <w:rFonts w:ascii="Cambria" w:hAnsi="Cambria" w:cs="Cambria"/>
          <w:color w:val="000000"/>
          <w:sz w:val="20"/>
          <w:szCs w:val="20"/>
        </w:rPr>
        <w:t xml:space="preserve">lohové faktúry budú doručené na adresu odberateľa </w:t>
      </w:r>
      <w:r w:rsidR="00582047" w:rsidRPr="00582047">
        <w:rPr>
          <w:rFonts w:ascii="Cambria" w:hAnsi="Cambria" w:cs="Cambria"/>
          <w:sz w:val="20"/>
          <w:szCs w:val="20"/>
        </w:rPr>
        <w:t>písomne v listinnej podobe do 15. dňa</w:t>
      </w:r>
      <w:r w:rsidR="00582047">
        <w:rPr>
          <w:rFonts w:ascii="Cambria" w:hAnsi="Cambria" w:cs="Cambria"/>
          <w:sz w:val="20"/>
          <w:szCs w:val="20"/>
        </w:rPr>
        <w:t xml:space="preserve"> daného mesiaca. </w:t>
      </w:r>
    </w:p>
    <w:p w:rsidR="006C2385" w:rsidRDefault="006C2385" w:rsidP="006F0472">
      <w:pPr>
        <w:autoSpaceDE w:val="0"/>
        <w:autoSpaceDN w:val="0"/>
        <w:adjustRightInd w:val="0"/>
        <w:jc w:val="both"/>
        <w:rPr>
          <w:rFonts w:ascii="Cambria" w:hAnsi="Cambria" w:cs="Cambria"/>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sz w:val="20"/>
          <w:szCs w:val="20"/>
        </w:rPr>
        <w:t xml:space="preserve">4.13. Vyúčtovanie </w:t>
      </w:r>
      <w:r>
        <w:rPr>
          <w:rFonts w:ascii="Cambria" w:hAnsi="Cambria" w:cs="Cambria"/>
          <w:color w:val="000000"/>
          <w:sz w:val="20"/>
          <w:szCs w:val="20"/>
        </w:rPr>
        <w:t>dohodnutej dodávky elektriny a dohodnutých distribučných služieb, ktoré sú predmetom Zmluvy, sa vykonáva na základe výsledkov meraní skutočne dodanej elektriny:</w:t>
      </w:r>
    </w:p>
    <w:p w:rsidR="006C2385" w:rsidRDefault="006C2385" w:rsidP="006F0472">
      <w:pPr>
        <w:autoSpaceDE w:val="0"/>
        <w:autoSpaceDN w:val="0"/>
        <w:adjustRightInd w:val="0"/>
        <w:ind w:left="709"/>
        <w:jc w:val="both"/>
        <w:rPr>
          <w:rFonts w:ascii="Cambria" w:hAnsi="Cambria" w:cs="Cambria"/>
          <w:color w:val="000000"/>
          <w:sz w:val="20"/>
          <w:szCs w:val="20"/>
        </w:rPr>
      </w:pPr>
      <w:r>
        <w:rPr>
          <w:rFonts w:ascii="Cambria" w:hAnsi="Cambria" w:cs="Cambria"/>
          <w:color w:val="000000"/>
          <w:sz w:val="20"/>
          <w:szCs w:val="20"/>
        </w:rPr>
        <w:t>a) v prípade odberných miest s </w:t>
      </w:r>
      <w:proofErr w:type="spellStart"/>
      <w:r>
        <w:rPr>
          <w:rFonts w:ascii="Cambria" w:hAnsi="Cambria" w:cs="Cambria"/>
          <w:color w:val="000000"/>
          <w:sz w:val="20"/>
          <w:szCs w:val="20"/>
        </w:rPr>
        <w:t>priebehovým</w:t>
      </w:r>
      <w:proofErr w:type="spellEnd"/>
      <w:r>
        <w:rPr>
          <w:rFonts w:ascii="Cambria" w:hAnsi="Cambria" w:cs="Cambria"/>
          <w:color w:val="000000"/>
          <w:sz w:val="20"/>
          <w:szCs w:val="20"/>
        </w:rPr>
        <w:t xml:space="preserve"> meraním (označené ako „VIND“) k poslednému dňu príslušného kalendárneho mesiaca, pričom vyúčtovacia faktúra za každý mesiac bude </w:t>
      </w:r>
      <w:r w:rsidRPr="00582047">
        <w:rPr>
          <w:rFonts w:ascii="Cambria" w:hAnsi="Cambria" w:cs="Cambria"/>
          <w:sz w:val="20"/>
          <w:szCs w:val="20"/>
        </w:rPr>
        <w:t xml:space="preserve">Odberateľovi doručená </w:t>
      </w:r>
      <w:r w:rsidR="00582047" w:rsidRPr="00582047">
        <w:rPr>
          <w:rFonts w:ascii="Cambria" w:hAnsi="Cambria" w:cs="Cambria"/>
          <w:sz w:val="20"/>
          <w:szCs w:val="20"/>
        </w:rPr>
        <w:t xml:space="preserve">písomne v listinnej podobe do </w:t>
      </w:r>
      <w:r w:rsidRPr="00582047">
        <w:rPr>
          <w:rFonts w:ascii="Cambria" w:hAnsi="Cambria" w:cs="Cambria"/>
          <w:sz w:val="20"/>
          <w:szCs w:val="20"/>
        </w:rPr>
        <w:t>15. dňa mesiaca nasledujúceho</w:t>
      </w:r>
      <w:r>
        <w:rPr>
          <w:rFonts w:ascii="Cambria" w:hAnsi="Cambria" w:cs="Cambria"/>
          <w:color w:val="000000"/>
          <w:sz w:val="20"/>
          <w:szCs w:val="20"/>
        </w:rPr>
        <w:t xml:space="preserve"> po mesiaci, za ktorý je faktúra vystavená</w:t>
      </w:r>
    </w:p>
    <w:p w:rsidR="006C2385" w:rsidRDefault="006C2385" w:rsidP="006F0472">
      <w:pPr>
        <w:autoSpaceDE w:val="0"/>
        <w:autoSpaceDN w:val="0"/>
        <w:adjustRightInd w:val="0"/>
        <w:ind w:left="709"/>
        <w:jc w:val="both"/>
        <w:rPr>
          <w:rFonts w:ascii="Cambria" w:hAnsi="Cambria" w:cs="Cambria"/>
          <w:color w:val="000000"/>
          <w:sz w:val="20"/>
          <w:szCs w:val="20"/>
        </w:rPr>
      </w:pPr>
      <w:r>
        <w:rPr>
          <w:rFonts w:ascii="Cambria" w:hAnsi="Cambria" w:cs="Cambria"/>
          <w:color w:val="000000"/>
          <w:sz w:val="20"/>
          <w:szCs w:val="20"/>
        </w:rPr>
        <w:t xml:space="preserve">b) v prípade odberných miest s ročným odpočtom (označené ako „IND“) k poslednému dňu príslušného kalendárneho roka, pričom vyúčtovacia faktúra bude Odberateľovi doručená </w:t>
      </w:r>
      <w:r w:rsidR="00582047" w:rsidRPr="00582047">
        <w:rPr>
          <w:rFonts w:ascii="Cambria" w:hAnsi="Cambria" w:cs="Cambria"/>
          <w:sz w:val="20"/>
          <w:szCs w:val="20"/>
        </w:rPr>
        <w:lastRenderedPageBreak/>
        <w:t xml:space="preserve">písomne v listinnej podobe </w:t>
      </w:r>
      <w:r>
        <w:rPr>
          <w:rFonts w:ascii="Cambria" w:hAnsi="Cambria" w:cs="Cambria"/>
          <w:color w:val="000000"/>
          <w:sz w:val="20"/>
          <w:szCs w:val="20"/>
        </w:rPr>
        <w:t>do 15. januára roku nasledujúceho po kalendárnom roku, ktorého sa vyúčtovanie týka</w:t>
      </w:r>
      <w:r w:rsidR="00582047">
        <w:rPr>
          <w:rFonts w:ascii="Cambria" w:hAnsi="Cambria" w:cs="Cambria"/>
          <w:color w:val="000000"/>
          <w:sz w:val="20"/>
          <w:szCs w:val="20"/>
        </w:rPr>
        <w:t>.</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4.14.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w:t>
      </w:r>
      <w:r w:rsidR="00582047">
        <w:rPr>
          <w:rFonts w:ascii="Cambria" w:hAnsi="Cambria" w:cs="Cambria"/>
          <w:color w:val="000000"/>
          <w:sz w:val="20"/>
          <w:szCs w:val="20"/>
        </w:rPr>
        <w:t>každé odberné miesto minimálne:</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údaje podľa § 71 zákona č. 222/2004 </w:t>
      </w:r>
      <w:proofErr w:type="spellStart"/>
      <w:r>
        <w:rPr>
          <w:rFonts w:ascii="Cambria" w:hAnsi="Cambria" w:cs="Cambria"/>
          <w:color w:val="000000"/>
          <w:sz w:val="20"/>
          <w:szCs w:val="20"/>
        </w:rPr>
        <w:t>Z.z</w:t>
      </w:r>
      <w:proofErr w:type="spellEnd"/>
      <w:r>
        <w:rPr>
          <w:rFonts w:ascii="Cambria" w:hAnsi="Cambria" w:cs="Cambria"/>
          <w:color w:val="000000"/>
          <w:sz w:val="20"/>
          <w:szCs w:val="20"/>
        </w:rPr>
        <w:t xml:space="preserve">. o dani z pridanej hodnoty a podľa zákona č. </w:t>
      </w:r>
      <w:r>
        <w:rPr>
          <w:rFonts w:ascii="Cambria" w:hAnsi="Cambria" w:cs="Cambria"/>
          <w:color w:val="000000"/>
          <w:sz w:val="20"/>
          <w:szCs w:val="20"/>
        </w:rPr>
        <w:tab/>
        <w:t>431/2002 Z. z. o účtovníctve v znení neskorších predpisov</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skutočnú spotrebu</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zoznam a identifikáciu odberných miest</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d) počiatočný a konečný stav elektromeru</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4.15. Splatnosť faktúry je 30 kalendárnych dní od dátumu jej doručenia Odberateľovi. Ak pripadne deň splatnosti na deň pracovného voľna, dňom splatnosti je najbližší nasledujúci pracovný deň.</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4.16. Úhradou sa rozumie pripísanie sumy na účet Dodávateľa s uvedením správneho variabilného symbolu uvedeného na faktúre.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4.17. Ak Odberateľ neuhradí faktúru v lehote splatnosti, Dodávateľ Odberateľovi zašle bezplatne písomnú upomienku, v ktorej označí deň vystavenia faktúry, jej splatnosť a celkovú čiastku po lehote splatnosti.</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582047">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w:t>
      </w:r>
      <w:r w:rsidRPr="00974AED">
        <w:rPr>
          <w:rFonts w:ascii="Cambria" w:hAnsi="Cambria" w:cs="Cambria"/>
          <w:color w:val="000000"/>
          <w:sz w:val="20"/>
          <w:szCs w:val="20"/>
        </w:rPr>
        <w:t>.18. Dodávateľ je povinný zasielať faktúry prostredníctvom držiteľa poštovej licencie na adresu odberateľa</w:t>
      </w:r>
      <w:r w:rsidR="00582047">
        <w:rPr>
          <w:rFonts w:ascii="Cambria" w:hAnsi="Cambria" w:cs="Cambria"/>
          <w:color w:val="000000"/>
          <w:sz w:val="20"/>
          <w:szCs w:val="20"/>
        </w:rPr>
        <w:t>.</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4.20 V prípade omeškania s platením ceny za dodávku elektriny a súvisiacich plnení je odberateľ povinný zaplatiť dodávateľovi úrok z omeškania vo výške 0,01% denne z dlžnej sumy odo dňa omeškania až do zaplatenia.</w:t>
      </w:r>
    </w:p>
    <w:p w:rsidR="006C2385" w:rsidRDefault="006C2385" w:rsidP="006F0472">
      <w:pPr>
        <w:autoSpaceDE w:val="0"/>
        <w:autoSpaceDN w:val="0"/>
        <w:adjustRightInd w:val="0"/>
        <w:jc w:val="both"/>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V.</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Doba platnosti Zmluvy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5.1 Zmluva nadobúda platnosť dňom podpisu oboch zmluvných strán a účinnosť dňom nasledujúcim po zverejnení na webovom sídle odberateľa, avšak nie skôr ako 01.01.2018.</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5.2 Zmluva sa uzatvára na dobu určitú, a to do 31.12.2020.</w:t>
      </w:r>
    </w:p>
    <w:p w:rsidR="006C2385" w:rsidRDefault="006C2385" w:rsidP="006F0472">
      <w:pPr>
        <w:autoSpaceDE w:val="0"/>
        <w:autoSpaceDN w:val="0"/>
        <w:adjustRightInd w:val="0"/>
        <w:jc w:val="both"/>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VI.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Distribučné služby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6. 1. Dodávateľ počas zmluvného obdobia zabezpečí Odberateľovi distribučné služby do odberných miest Odberateľa uvedených v Prílohe č. 1. Zmluvy a za podmienok uvedených v tejto Zmluve.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6.2. Dodávateľ sa zaväzuje zabezpečiť distribučné služby do odberných miest Odberateľa do výšky ich maximálnej rezervovanej kapacity uvedenej v Prílohe č. 1 tejto Zmluvy. Distribučné služby sa uskutočňujú v súlade s platnými všeobecne záväznými právnymi predpismi, Prevádzkovým poriadkom príslušného poskytovateľa distribučných služieb (ďalej len „PDS“) a v kvalite podľa Technických podmienok PDS.</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6.3. Dodávateľ sa zaväzuje zabezpečiť rezervované kapacity (ďalej len „RK“) pre odberné miesta Odberateľa. Prekročenie dohodnutej RK sa bude riešiť v súlade s Prevádzkovým poriadkom PDS a platným cenovým rozhodnutím ÚRSO.</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6.4. Odberateľ môže požiadať Dodávateľa o úpravu dohodnutej RK, najviac však do výšky maximálnej RK, zaslaním písomnej žiadosti na adresu Dodávateľa, alebo na kontaktnú e-mailovú adresu uvedenú na </w:t>
      </w:r>
      <w:r>
        <w:rPr>
          <w:rFonts w:ascii="Cambria" w:hAnsi="Cambria" w:cs="Cambria"/>
          <w:color w:val="000000"/>
          <w:sz w:val="20"/>
          <w:szCs w:val="20"/>
        </w:rPr>
        <w:lastRenderedPageBreak/>
        <w:t>faktúre a doručenú najneskôr 5 pracovných dní pred stanovenou lehotou uvedenou v podmienkach príslušného PDS. Úprava dohodnutej RK sa stáva účinnou po jej písomnom odsúhlasení Dodávateľom.</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6.5. Distribučné sadzby pre odberné miesta Odberateľa sú uvedené v Prílohe č. 1 Zmluvy.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6.6. Dohodnutý účinník je 0,95-1,00.</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6.7. Dodávateľ účtuje Odberateľovi cenu za distribučné služby v súlade s platnými cenovými rozhodnutiami ÚRSO, vzťahujúcimi sa na distribučné služby poskytované PDS podľa sadzby dohodnutej v tejto Zmluve.</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6.8. Dodávateľ účtuje Odberateľovi ostatné služby súvisiace s distribúciou elektriny podľa platného cenníka služieb distribúcie príslušného PDS (ďalej aj „cenník služieb distribúcie").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6.9. Cenové rozhodnutia ÚRSO a cenník služieb distribúcie sú uverejnené na internetovej stránke príslušného PDS.</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VII.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Kvalita dodávky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7.1. Kvalita dodávanej elektriny a distribučných služieb nemusí byť dodržaná, ak:</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a) Odberateľ odoberá elektrinu s iným účinníkom ako je dohodnuté v tejto Zmluve;</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b) Odberateľ prekračuje hranice prípustného negatívneho spätného pôsobenia na sústavu </w:t>
      </w:r>
      <w:r>
        <w:rPr>
          <w:rFonts w:ascii="Cambria" w:hAnsi="Cambria" w:cs="Cambria"/>
          <w:color w:val="000000"/>
          <w:sz w:val="20"/>
          <w:szCs w:val="20"/>
        </w:rPr>
        <w:tab/>
        <w:t>(verejný rozvod elektriny) stanovené technickými predpismi;</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Odberateľ prekračuje maximálnu RK;</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d) ide o stav núdze;</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e) vzniknú, alebo sa odstraňujú havárie a poruchy na energetických zariadeniach.</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7.2. Odberateľ je zodpovedný za riadny stav odberného zariadenia a za dodržiavanie predpisov na zaistenie bezpečnosti technických zariadení.</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7.3. Odberateľ sa zaväzuje dodržiavať všetky povinnosti Odberateľa podľa zákona o energetike, pravidiel trhu s elektrinou, Prevádzkového poriadku PDS a ostatných príslušných všeobecne záväzných právnych predpisov.</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7.4. Odberateľ sa zaväzuje riadiť sa podmienkami v Zmluve, Prevádzkovým poriadkom príslušného PDS, Technickými podmienkami a dodržiavať podmienky pripojenia k distribučnej sústave.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7.5. </w:t>
      </w:r>
      <w:r w:rsidR="00F82B08" w:rsidRPr="00F82B08">
        <w:rPr>
          <w:rFonts w:ascii="Cambria" w:hAnsi="Cambria" w:cs="Cambria"/>
          <w:color w:val="000000"/>
          <w:sz w:val="20"/>
          <w:szCs w:val="20"/>
        </w:rPr>
        <w:t>Odberateľ sa zaväzuje v prípade stavu núdze postupovať podľa príslušných právnych predpisov - a to § 20 Zákona o energetike a vyhlášky MH SR č. 459/2008 Z. z., ktorou sa ustanovujú podrobnosti o postupe pri vyhlasovaní stavu núdze, o vyhlasovaní obmedzujúcich opatrení pri stavoch núdze a o opatreniach zameraných na odstránenie stavu núdze.</w:t>
      </w:r>
    </w:p>
    <w:p w:rsidR="006C2385" w:rsidRDefault="006C2385" w:rsidP="006F0472">
      <w:pPr>
        <w:autoSpaceDE w:val="0"/>
        <w:autoSpaceDN w:val="0"/>
        <w:adjustRightInd w:val="0"/>
        <w:jc w:val="both"/>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VIII.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Meranie množstva odobratej elektriny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8.1. </w:t>
      </w:r>
      <w:r w:rsidR="00F82B08" w:rsidRPr="00F82B08">
        <w:rPr>
          <w:rFonts w:ascii="Cambria" w:hAnsi="Cambria" w:cs="Cambria"/>
          <w:color w:val="000000"/>
          <w:sz w:val="20"/>
          <w:szCs w:val="20"/>
        </w:rPr>
        <w:t>Montáž, pripojenie alebo výmenu určeného meradla zabezpečí PDS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rsidR="00F82B08" w:rsidRDefault="00F82B08"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8.2. Odber elektriny sa meria určeným meradlom (v zmysle zákona č. 142/2000 Z. z. o metrológii o zmene a doplnení niektorých zákonov v znení neskorších predpisov).</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8.7. Dôvody výmeny určeného meradla môžu byť najmä:</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a) výmena určeného meradla z dôvodu uplynutia času platnosti overenia;</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výmena určeného meradla pri požiadavke na preskúšanie určeného meradla;</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výmena určeného meradla z dôvodu poruchy na určenom meradle;</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d) výmena určeného meradla z dôvodu zmeny zmluvných podmienok.</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IX.</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Obmedzenie alebo prerušenie dodávky a distribúcie elektriny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9.1. Odberateľ berie na vedomie, že PDS je oprávnený obmedziť alebo prerušiť distribučné služby v nevyhnutnom rozsahu a na nevyhnutnú dobu v prípadoch ustanovených v § 24 ods. 1 písm. e) zákona 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w:t>
      </w:r>
      <w:proofErr w:type="spellStart"/>
      <w:r>
        <w:rPr>
          <w:rFonts w:ascii="Cambria" w:hAnsi="Cambria" w:cs="Cambria"/>
          <w:color w:val="000000"/>
          <w:sz w:val="20"/>
          <w:szCs w:val="20"/>
        </w:rPr>
        <w:t>ušlého</w:t>
      </w:r>
      <w:proofErr w:type="spellEnd"/>
      <w:r>
        <w:rPr>
          <w:rFonts w:ascii="Cambria" w:hAnsi="Cambria" w:cs="Cambria"/>
          <w:color w:val="000000"/>
          <w:sz w:val="20"/>
          <w:szCs w:val="20"/>
        </w:rPr>
        <w:t xml:space="preserve"> zisku), s výnimkou prípadov, keď škoda vznikla zavinením PDS.</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9.3. V prípade odstúpenia od tejto Zmluvy zo strany Dodávateľa alebo Odberateľa je Dodávateľ oprávnený zabezpečiť ukončenie dodávky elektriny a distribučných služieb odpojením odberného miesta ku dňu zániku Zmluvy.</w:t>
      </w:r>
    </w:p>
    <w:p w:rsidR="00A5627D" w:rsidRDefault="00A5627D" w:rsidP="006F0472">
      <w:pPr>
        <w:autoSpaceDE w:val="0"/>
        <w:autoSpaceDN w:val="0"/>
        <w:adjustRightInd w:val="0"/>
        <w:jc w:val="both"/>
        <w:rPr>
          <w:rFonts w:ascii="Cambria" w:hAnsi="Cambria" w:cs="Cambria"/>
          <w:color w:val="000000"/>
          <w:sz w:val="20"/>
          <w:szCs w:val="20"/>
        </w:rPr>
      </w:pPr>
    </w:p>
    <w:p w:rsidR="00A5627D" w:rsidRPr="00240E9A" w:rsidRDefault="00A5627D" w:rsidP="00A5627D">
      <w:pPr>
        <w:jc w:val="both"/>
        <w:rPr>
          <w:rFonts w:ascii="Cambria" w:hAnsi="Cambria" w:cs="Cambria"/>
          <w:sz w:val="20"/>
          <w:szCs w:val="20"/>
        </w:rPr>
      </w:pPr>
      <w:r>
        <w:rPr>
          <w:rFonts w:ascii="Cambria" w:hAnsi="Cambria" w:cs="Cambria"/>
          <w:color w:val="000000"/>
          <w:sz w:val="20"/>
          <w:szCs w:val="20"/>
        </w:rPr>
        <w:t xml:space="preserve">9.4. </w:t>
      </w:r>
      <w:r>
        <w:rPr>
          <w:rFonts w:ascii="Cambria" w:hAnsi="Cambria" w:cs="Cambria"/>
          <w:sz w:val="20"/>
          <w:szCs w:val="20"/>
        </w:rPr>
        <w:t>Dodávky uvedené v tejto Z</w:t>
      </w:r>
      <w:r w:rsidRPr="00240E9A">
        <w:rPr>
          <w:rFonts w:ascii="Cambria" w:hAnsi="Cambria" w:cs="Cambria"/>
          <w:sz w:val="20"/>
          <w:szCs w:val="20"/>
        </w:rPr>
        <w:t xml:space="preserve">mluve sú garantovanými dodávkami a môžu byť </w:t>
      </w:r>
      <w:r>
        <w:rPr>
          <w:rFonts w:ascii="Cambria" w:hAnsi="Cambria" w:cs="Cambria"/>
          <w:sz w:val="20"/>
          <w:szCs w:val="20"/>
        </w:rPr>
        <w:t xml:space="preserve">okrem vyššie uvedeného </w:t>
      </w:r>
      <w:r w:rsidRPr="00240E9A">
        <w:rPr>
          <w:rFonts w:ascii="Cambria" w:hAnsi="Cambria" w:cs="Cambria"/>
          <w:sz w:val="20"/>
          <w:szCs w:val="20"/>
        </w:rPr>
        <w:t>preru</w:t>
      </w:r>
      <w:r>
        <w:rPr>
          <w:rFonts w:ascii="Cambria" w:hAnsi="Cambria" w:cs="Cambria"/>
          <w:sz w:val="20"/>
          <w:szCs w:val="20"/>
        </w:rPr>
        <w:t>šené alebo obmedzené zo strany d</w:t>
      </w:r>
      <w:r w:rsidRPr="00240E9A">
        <w:rPr>
          <w:rFonts w:ascii="Cambria" w:hAnsi="Cambria" w:cs="Cambria"/>
          <w:sz w:val="20"/>
          <w:szCs w:val="20"/>
        </w:rPr>
        <w:t>odávateľa len z nasledujúcich dôvodov:</w:t>
      </w:r>
    </w:p>
    <w:p w:rsidR="00A5627D" w:rsidRPr="00240E9A" w:rsidRDefault="00A5627D" w:rsidP="00A5627D">
      <w:pPr>
        <w:numPr>
          <w:ilvl w:val="0"/>
          <w:numId w:val="5"/>
        </w:numPr>
        <w:jc w:val="both"/>
        <w:rPr>
          <w:rFonts w:ascii="Cambria" w:hAnsi="Cambria" w:cs="Cambria"/>
          <w:sz w:val="20"/>
          <w:szCs w:val="20"/>
        </w:rPr>
      </w:pPr>
      <w:r>
        <w:rPr>
          <w:rFonts w:ascii="Cambria" w:hAnsi="Cambria" w:cs="Cambria"/>
          <w:sz w:val="20"/>
          <w:szCs w:val="20"/>
        </w:rPr>
        <w:t xml:space="preserve"> </w:t>
      </w:r>
      <w:r w:rsidRPr="00240E9A">
        <w:rPr>
          <w:rFonts w:ascii="Cambria" w:hAnsi="Cambria" w:cs="Cambria"/>
          <w:sz w:val="20"/>
          <w:szCs w:val="20"/>
        </w:rPr>
        <w:t>stav núdze vyhlásený v súlade so zákonom Slovenskej republiky č.251/2012 Z. z. o energetike v platnom znení</w:t>
      </w:r>
    </w:p>
    <w:p w:rsidR="00A5627D" w:rsidRDefault="00A5627D" w:rsidP="00A5627D">
      <w:pPr>
        <w:numPr>
          <w:ilvl w:val="0"/>
          <w:numId w:val="5"/>
        </w:numPr>
        <w:jc w:val="both"/>
        <w:rPr>
          <w:rFonts w:ascii="Cambria" w:hAnsi="Cambria" w:cs="Cambria"/>
          <w:sz w:val="20"/>
          <w:szCs w:val="20"/>
        </w:rPr>
      </w:pPr>
      <w:r>
        <w:rPr>
          <w:rFonts w:ascii="Cambria" w:hAnsi="Cambria" w:cs="Cambria"/>
          <w:sz w:val="20"/>
          <w:szCs w:val="20"/>
        </w:rPr>
        <w:t xml:space="preserve"> z dôvodu </w:t>
      </w:r>
      <w:proofErr w:type="spellStart"/>
      <w:r>
        <w:rPr>
          <w:rFonts w:ascii="Cambria" w:hAnsi="Cambria" w:cs="Cambria"/>
          <w:sz w:val="20"/>
          <w:szCs w:val="20"/>
        </w:rPr>
        <w:t>vyššiej</w:t>
      </w:r>
      <w:proofErr w:type="spellEnd"/>
      <w:r w:rsidRPr="00240E9A">
        <w:rPr>
          <w:rFonts w:ascii="Cambria" w:hAnsi="Cambria" w:cs="Cambria"/>
          <w:sz w:val="20"/>
          <w:szCs w:val="20"/>
        </w:rPr>
        <w:t xml:space="preserve"> moc</w:t>
      </w:r>
      <w:r>
        <w:rPr>
          <w:rFonts w:ascii="Cambria" w:hAnsi="Cambria" w:cs="Cambria"/>
          <w:sz w:val="20"/>
          <w:szCs w:val="20"/>
        </w:rPr>
        <w:t>i</w:t>
      </w:r>
      <w:r w:rsidRPr="00240E9A">
        <w:rPr>
          <w:rFonts w:ascii="Cambria" w:hAnsi="Cambria" w:cs="Cambria"/>
          <w:sz w:val="20"/>
          <w:szCs w:val="20"/>
        </w:rPr>
        <w:t>. Pre účely tejto Zmluvy "vyššia moc" znamená výnimočnú a neodvrátiteľnú udalosť mimo kontroly zmluvnej strany odvolávajúcej sa na vyššiu moc, ktorá nemohla byť predvídaná pri uzatváraní Zmluvy a ktorá znemožňuje plnenie povinností podľa tejto Zmluvy zmluvnou stranou</w:t>
      </w:r>
    </w:p>
    <w:p w:rsidR="00A5627D" w:rsidRPr="00FD4D6F" w:rsidRDefault="00A5627D" w:rsidP="00A5627D">
      <w:pPr>
        <w:numPr>
          <w:ilvl w:val="0"/>
          <w:numId w:val="5"/>
        </w:numPr>
        <w:jc w:val="both"/>
        <w:rPr>
          <w:rFonts w:ascii="Cambria" w:hAnsi="Cambria" w:cs="Cambria"/>
          <w:sz w:val="20"/>
          <w:szCs w:val="20"/>
        </w:rPr>
      </w:pPr>
      <w:r w:rsidRPr="00FD4D6F">
        <w:rPr>
          <w:rFonts w:ascii="Cambria" w:hAnsi="Cambria" w:cs="Cambria"/>
          <w:color w:val="000000"/>
          <w:sz w:val="20"/>
          <w:szCs w:val="20"/>
        </w:rPr>
        <w:t xml:space="preserve">v prípade, že odberateľ nezaplatí ktorúkoľvek platbu o viac ako </w:t>
      </w:r>
      <w:r>
        <w:rPr>
          <w:rFonts w:ascii="Cambria" w:hAnsi="Cambria" w:cs="Cambria"/>
          <w:color w:val="000000"/>
          <w:sz w:val="20"/>
          <w:szCs w:val="20"/>
        </w:rPr>
        <w:t>štrnásť</w:t>
      </w:r>
      <w:r w:rsidRPr="00FD4D6F">
        <w:rPr>
          <w:rFonts w:ascii="Cambria" w:hAnsi="Cambria" w:cs="Cambria"/>
          <w:color w:val="000000"/>
          <w:sz w:val="20"/>
          <w:szCs w:val="20"/>
        </w:rPr>
        <w:t xml:space="preserve"> (</w:t>
      </w:r>
      <w:r>
        <w:rPr>
          <w:rFonts w:ascii="Cambria" w:hAnsi="Cambria" w:cs="Cambria"/>
          <w:color w:val="000000"/>
          <w:sz w:val="20"/>
          <w:szCs w:val="20"/>
        </w:rPr>
        <w:t>14) kalendárnych dní po lehote splatnosti</w:t>
      </w:r>
      <w:r w:rsidRPr="00FD4D6F">
        <w:rPr>
          <w:rFonts w:ascii="Cambria" w:hAnsi="Cambria" w:cs="Cambria"/>
          <w:color w:val="000000"/>
          <w:sz w:val="20"/>
          <w:szCs w:val="20"/>
        </w:rPr>
        <w:t>, dodávateľ ho písomne vyzve na zaplatenie dlžnej sumy a určí mu náhradný termín, k</w:t>
      </w:r>
      <w:r>
        <w:rPr>
          <w:rFonts w:ascii="Cambria" w:hAnsi="Cambria" w:cs="Cambria"/>
          <w:color w:val="000000"/>
          <w:sz w:val="20"/>
          <w:szCs w:val="20"/>
        </w:rPr>
        <w:t>torý nesmie byť kratší ako 10</w:t>
      </w:r>
      <w:r w:rsidRPr="00FD4D6F">
        <w:rPr>
          <w:rFonts w:ascii="Cambria" w:hAnsi="Cambria" w:cs="Cambria"/>
          <w:color w:val="000000"/>
          <w:sz w:val="20"/>
          <w:szCs w:val="20"/>
        </w:rPr>
        <w:t xml:space="preserve"> </w:t>
      </w:r>
      <w:r>
        <w:rPr>
          <w:rFonts w:ascii="Cambria" w:hAnsi="Cambria" w:cs="Cambria"/>
          <w:color w:val="000000"/>
          <w:sz w:val="20"/>
          <w:szCs w:val="20"/>
        </w:rPr>
        <w:t xml:space="preserve">kalendárnych </w:t>
      </w:r>
      <w:r w:rsidRPr="00FD4D6F">
        <w:rPr>
          <w:rFonts w:ascii="Cambria" w:hAnsi="Cambria" w:cs="Cambria"/>
          <w:color w:val="000000"/>
          <w:sz w:val="20"/>
          <w:szCs w:val="20"/>
        </w:rPr>
        <w:t xml:space="preserve">dní od upozornenia o neuhradení záväzku. Ak bude odberateľ naďalej v omeškaní s platbou, je dodávateľ oprávnený kedykoľvek prerušiť dodávky </w:t>
      </w:r>
      <w:r>
        <w:rPr>
          <w:rFonts w:ascii="Cambria" w:hAnsi="Cambria" w:cs="Cambria"/>
          <w:color w:val="000000"/>
          <w:sz w:val="20"/>
          <w:szCs w:val="20"/>
        </w:rPr>
        <w:t>elektriny</w:t>
      </w:r>
      <w:r w:rsidRPr="00FD4D6F">
        <w:rPr>
          <w:rFonts w:ascii="Cambria" w:hAnsi="Cambria" w:cs="Cambria"/>
          <w:color w:val="000000"/>
          <w:sz w:val="20"/>
          <w:szCs w:val="20"/>
        </w:rPr>
        <w:t xml:space="preserve">, a to po uplynutí </w:t>
      </w:r>
      <w:r>
        <w:rPr>
          <w:rFonts w:ascii="Cambria" w:hAnsi="Cambria" w:cs="Cambria"/>
          <w:color w:val="000000"/>
          <w:sz w:val="20"/>
          <w:szCs w:val="20"/>
        </w:rPr>
        <w:t>desiatich (10</w:t>
      </w:r>
      <w:r w:rsidRPr="00FD4D6F">
        <w:rPr>
          <w:rFonts w:ascii="Cambria" w:hAnsi="Cambria" w:cs="Cambria"/>
          <w:color w:val="000000"/>
          <w:sz w:val="20"/>
          <w:szCs w:val="20"/>
        </w:rPr>
        <w:t xml:space="preserve">) </w:t>
      </w:r>
      <w:r>
        <w:rPr>
          <w:rFonts w:ascii="Cambria" w:hAnsi="Cambria" w:cs="Cambria"/>
          <w:color w:val="000000"/>
          <w:sz w:val="20"/>
          <w:szCs w:val="20"/>
        </w:rPr>
        <w:t xml:space="preserve">kalendárnych </w:t>
      </w:r>
      <w:r w:rsidRPr="00FD4D6F">
        <w:rPr>
          <w:rFonts w:ascii="Cambria" w:hAnsi="Cambria" w:cs="Cambria"/>
          <w:color w:val="000000"/>
          <w:sz w:val="20"/>
          <w:szCs w:val="20"/>
        </w:rPr>
        <w:t xml:space="preserve">dní po doručení písomnej upomienky. Odberateľ je povinný uhradiť dodávateľovi náklady spojené s prerušením, obnovením alebo ukončení dodávky a to do 14-tich </w:t>
      </w:r>
      <w:r>
        <w:rPr>
          <w:rFonts w:ascii="Cambria" w:hAnsi="Cambria" w:cs="Cambria"/>
          <w:color w:val="000000"/>
          <w:sz w:val="20"/>
          <w:szCs w:val="20"/>
        </w:rPr>
        <w:t xml:space="preserve">kalendárnych </w:t>
      </w:r>
      <w:r w:rsidRPr="00FD4D6F">
        <w:rPr>
          <w:rFonts w:ascii="Cambria" w:hAnsi="Cambria" w:cs="Cambria"/>
          <w:color w:val="000000"/>
          <w:sz w:val="20"/>
          <w:szCs w:val="20"/>
        </w:rPr>
        <w:t xml:space="preserve">dní po </w:t>
      </w:r>
      <w:proofErr w:type="spellStart"/>
      <w:r w:rsidRPr="00FD4D6F">
        <w:rPr>
          <w:rFonts w:ascii="Cambria" w:hAnsi="Cambria" w:cs="Cambria"/>
          <w:color w:val="000000"/>
          <w:sz w:val="20"/>
          <w:szCs w:val="20"/>
        </w:rPr>
        <w:t>pobdržaní</w:t>
      </w:r>
      <w:proofErr w:type="spellEnd"/>
      <w:r w:rsidRPr="00FD4D6F">
        <w:rPr>
          <w:rFonts w:ascii="Cambria" w:hAnsi="Cambria" w:cs="Cambria"/>
          <w:color w:val="000000"/>
          <w:sz w:val="20"/>
          <w:szCs w:val="20"/>
        </w:rPr>
        <w:t xml:space="preserve"> príslušnej faktúry. Odberateľ je povinný zaplatiť dodávateľovi poplatok vo výške stanovenej v cenníku doplnkových služieb dodávateľa za každú písomnú upomienku vystavenú podľa tohto odseku</w:t>
      </w:r>
      <w:r w:rsidRPr="00FD4D6F">
        <w:rPr>
          <w:rFonts w:ascii="Cambria" w:hAnsi="Cambria" w:cs="Cambria"/>
          <w:sz w:val="20"/>
          <w:szCs w:val="20"/>
        </w:rPr>
        <w:t>.</w:t>
      </w:r>
    </w:p>
    <w:p w:rsidR="00A5627D" w:rsidRDefault="00A5627D" w:rsidP="006F0472">
      <w:pPr>
        <w:autoSpaceDE w:val="0"/>
        <w:autoSpaceDN w:val="0"/>
        <w:adjustRightInd w:val="0"/>
        <w:jc w:val="both"/>
        <w:rPr>
          <w:rFonts w:ascii="Cambria" w:hAnsi="Cambria" w:cs="Cambria"/>
          <w:color w:val="000000"/>
          <w:sz w:val="20"/>
          <w:szCs w:val="20"/>
        </w:rPr>
      </w:pPr>
    </w:p>
    <w:p w:rsidR="00A5627D" w:rsidRDefault="00A5627D"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lastRenderedPageBreak/>
        <w:t>X.</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Reklamácie</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10.1. Dodávateľ je povinný dodržiavať štandardy kvality (Vyhláška URSO č. 275/2012 </w:t>
      </w:r>
      <w:proofErr w:type="spellStart"/>
      <w:r>
        <w:rPr>
          <w:rFonts w:ascii="Cambria" w:hAnsi="Cambria" w:cs="Cambria"/>
          <w:color w:val="000000"/>
          <w:sz w:val="20"/>
          <w:szCs w:val="20"/>
        </w:rPr>
        <w:t>Z.z</w:t>
      </w:r>
      <w:proofErr w:type="spellEnd"/>
      <w:r>
        <w:rPr>
          <w:rFonts w:ascii="Cambria" w:hAnsi="Cambria" w:cs="Cambria"/>
          <w:color w:val="000000"/>
          <w:sz w:val="20"/>
          <w:szCs w:val="20"/>
        </w:rPr>
        <w:t>.)</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10.3. Odberateľ má právo písomne reklamovať aj iné chyby, ku ktorým došlo pri realizácii tejto Zmluvy.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10.4.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6C2385" w:rsidRDefault="006C2385" w:rsidP="006F0472">
      <w:pPr>
        <w:autoSpaceDE w:val="0"/>
        <w:autoSpaceDN w:val="0"/>
        <w:adjustRightInd w:val="0"/>
        <w:jc w:val="center"/>
        <w:rPr>
          <w:rFonts w:ascii="Cambria" w:hAnsi="Cambria" w:cs="Cambria"/>
          <w:b/>
          <w:bCs/>
          <w:color w:val="000000"/>
          <w:sz w:val="20"/>
          <w:szCs w:val="20"/>
        </w:rPr>
      </w:pPr>
    </w:p>
    <w:p w:rsidR="003A2462" w:rsidRDefault="003A2462" w:rsidP="006F0472">
      <w:pPr>
        <w:autoSpaceDE w:val="0"/>
        <w:autoSpaceDN w:val="0"/>
        <w:adjustRightInd w:val="0"/>
        <w:jc w:val="center"/>
        <w:rPr>
          <w:rFonts w:ascii="Cambria" w:hAnsi="Cambria" w:cs="Cambria"/>
          <w:b/>
          <w:bCs/>
          <w:color w:val="000000"/>
          <w:sz w:val="20"/>
          <w:szCs w:val="20"/>
        </w:rPr>
      </w:pPr>
    </w:p>
    <w:p w:rsidR="003A2462" w:rsidRDefault="003A2462"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XI.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Náhrada škody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Zmluvou, zákonom o energetike a ostatnými všeobecne záväznými právnymi predpismi alebo okrem prípadu, ak škoda má pôvod v okolnostiach vylučujúcimi zodpovednosť za škodu podľa § 374 Obchodného zákonníka.</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11.2. Dodávateľ nezodpovedá za vzniknuté škody ani za </w:t>
      </w:r>
      <w:proofErr w:type="spellStart"/>
      <w:r>
        <w:rPr>
          <w:rFonts w:ascii="Cambria" w:hAnsi="Cambria" w:cs="Cambria"/>
          <w:color w:val="000000"/>
          <w:sz w:val="20"/>
          <w:szCs w:val="20"/>
        </w:rPr>
        <w:t>ušlý</w:t>
      </w:r>
      <w:proofErr w:type="spellEnd"/>
      <w:r>
        <w:rPr>
          <w:rFonts w:ascii="Cambria" w:hAnsi="Cambria" w:cs="Cambria"/>
          <w:color w:val="000000"/>
          <w:sz w:val="20"/>
          <w:szCs w:val="20"/>
        </w:rPr>
        <w:t xml:space="preserve">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11.3. Odberateľ zodpovedá za škodu spôsobenú neoprávneným odberom v súlade so Zmluvou, zákonom o energetike a príslušnými všeobecne záväznými právnymi predpismi.</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11.4. Odberateľ s Dodávateľom sa budú navzájom informovať o všetkých skutočnostiach, ktoré by mohli viesť ku vzniku škôd a vyvinú maximálne úsilie pri ich odvracaní.</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XII.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Okolnosti vylučujúce zodpovednosť</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lastRenderedPageBreak/>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12.5. Pri riešení stavov núdze a obmedzujúcich opatreniach zamedzujúcich ich vzniku sú Dodávateľ a Odberateľ povinní postupovať v zmysle všeobecne záväzných právnych predpisov, technických podmienok PDS a odberových stupňov.</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rsidR="006C2385" w:rsidRDefault="006C2385" w:rsidP="006F0472">
      <w:pPr>
        <w:autoSpaceDE w:val="0"/>
        <w:autoSpaceDN w:val="0"/>
        <w:adjustRightInd w:val="0"/>
        <w:jc w:val="center"/>
        <w:rPr>
          <w:rFonts w:ascii="Cambria" w:hAnsi="Cambria" w:cs="Cambria"/>
          <w:b/>
          <w:bCs/>
          <w:color w:val="000000"/>
          <w:sz w:val="20"/>
          <w:szCs w:val="20"/>
        </w:rPr>
      </w:pPr>
    </w:p>
    <w:p w:rsidR="00582047" w:rsidRDefault="00582047" w:rsidP="006F0472">
      <w:pPr>
        <w:autoSpaceDE w:val="0"/>
        <w:autoSpaceDN w:val="0"/>
        <w:adjustRightInd w:val="0"/>
        <w:jc w:val="center"/>
        <w:rPr>
          <w:rFonts w:ascii="Cambria" w:hAnsi="Cambria" w:cs="Cambria"/>
          <w:b/>
          <w:bCs/>
          <w:color w:val="000000"/>
          <w:sz w:val="20"/>
          <w:szCs w:val="20"/>
        </w:rPr>
      </w:pPr>
    </w:p>
    <w:p w:rsidR="002E3859" w:rsidRDefault="002E3859" w:rsidP="006F0472">
      <w:pPr>
        <w:autoSpaceDE w:val="0"/>
        <w:autoSpaceDN w:val="0"/>
        <w:adjustRightInd w:val="0"/>
        <w:jc w:val="center"/>
        <w:rPr>
          <w:rFonts w:ascii="Cambria" w:hAnsi="Cambria" w:cs="Cambria"/>
          <w:b/>
          <w:bCs/>
          <w:color w:val="000000"/>
          <w:sz w:val="20"/>
          <w:szCs w:val="20"/>
        </w:rPr>
      </w:pPr>
    </w:p>
    <w:p w:rsidR="002E3859" w:rsidRDefault="002E3859"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XIII.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Ochrana dôverných informácií a obchodného či iného tajomstva</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dostatočné garancie, že nedôjde 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XIV.</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Ukončenie zmluvy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sz w:val="20"/>
          <w:szCs w:val="20"/>
        </w:rPr>
      </w:pPr>
      <w:r>
        <w:rPr>
          <w:rFonts w:ascii="Cambria" w:hAnsi="Cambria" w:cs="Cambria"/>
          <w:color w:val="000000"/>
          <w:sz w:val="20"/>
          <w:szCs w:val="20"/>
        </w:rPr>
        <w:t xml:space="preserve">14.1 Táto </w:t>
      </w:r>
      <w:r>
        <w:rPr>
          <w:rFonts w:ascii="Cambria" w:hAnsi="Cambria" w:cs="Cambria"/>
          <w:sz w:val="20"/>
          <w:szCs w:val="20"/>
        </w:rPr>
        <w:t>zmluva zaniká po uplynutí zmluvne dohodnutého času dodávania predmetu zmluvy.</w:t>
      </w:r>
    </w:p>
    <w:p w:rsidR="00582047" w:rsidRDefault="00582047" w:rsidP="006F0472">
      <w:pPr>
        <w:autoSpaceDE w:val="0"/>
        <w:autoSpaceDN w:val="0"/>
        <w:adjustRightInd w:val="0"/>
        <w:jc w:val="both"/>
        <w:rPr>
          <w:rFonts w:ascii="Cambria" w:hAnsi="Cambria" w:cs="Cambria"/>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sz w:val="20"/>
          <w:szCs w:val="20"/>
        </w:rPr>
        <w:t>14.2. Zmluvu možno predčasne ukončiť dohodou zmluvných strán, k platnosti ktorej sa vyžaduje písomná forma.</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14.4. Za podstatné porušenie tejto Zmluvy zo strany odberateľa sa považuje neoprávnený odber elektriny v zmysle zákona o energetike.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14.5. Za podstatné porušenie Zmluvy zo strany dodávateľa sa považuje najmä nezabezpečenie dohodnutej dodávky elektriny a distribučných služieb v súlade s podmienkami tejto Zmluvy.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14.6. Každá zo zmluvných strán je oprávnená od tejto Zmluvy odstúpiť, ak</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a) druhá zmluvná strana podala na seba návrh na vyhlásenie konkurzu,</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b) bol návrh na vyhlásenie konkurzu voči druhej zmluvnej strane podaný treťou osobou, pričom </w:t>
      </w:r>
      <w:r>
        <w:rPr>
          <w:rFonts w:ascii="Cambria" w:hAnsi="Cambria" w:cs="Cambria"/>
          <w:color w:val="000000"/>
          <w:sz w:val="20"/>
          <w:szCs w:val="20"/>
        </w:rPr>
        <w:tab/>
        <w:t xml:space="preserve">dotknutá zmluvná strana je platobne neschopná alebo je v situácii, ktorá odôvodňuje začatie </w:t>
      </w:r>
      <w:r>
        <w:rPr>
          <w:rFonts w:ascii="Cambria" w:hAnsi="Cambria" w:cs="Cambria"/>
          <w:color w:val="000000"/>
          <w:sz w:val="20"/>
          <w:szCs w:val="20"/>
        </w:rPr>
        <w:tab/>
        <w:t>konkurzného konania,</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bol na majetok druhej zmluvnej strany vyhlásený konkurz,</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d) bol návrh na vyhlásenie konkurzu zamietnutý pre nedostatok majetku,</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e) druhá zmluvná strana vstúpila do likvidácie.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14.9. V prípade ukončenia tejto Zmluvy sa odberateľ zaväzuje, že umožní dodávateľovi vykonať úkony súvisiace s ukončením dodávky elektriny a distribučných služieb vrátane odobratia určeného meradla a odpojenia odberného miesta.</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14.10. Túto Zmluvu je možné vypovedať v súlade s ustanoveniami zákona č. 251/2012 </w:t>
      </w:r>
      <w:proofErr w:type="spellStart"/>
      <w:r>
        <w:rPr>
          <w:rFonts w:ascii="Cambria" w:hAnsi="Cambria" w:cs="Cambria"/>
          <w:color w:val="000000"/>
          <w:sz w:val="20"/>
          <w:szCs w:val="20"/>
        </w:rPr>
        <w:t>Z.z</w:t>
      </w:r>
      <w:proofErr w:type="spellEnd"/>
      <w:r>
        <w:rPr>
          <w:rFonts w:ascii="Cambria" w:hAnsi="Cambria" w:cs="Cambria"/>
          <w:color w:val="000000"/>
          <w:sz w:val="20"/>
          <w:szCs w:val="20"/>
        </w:rPr>
        <w:t>. o energetike, a to aj čiastočne (t.j. napríklad v prípade uvedenom v čl. III. bode 3.3. tejto Zmluvy).</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XV.</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Všeobecné ustanovenia.</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b/>
          <w:bCs/>
          <w:color w:val="000000"/>
          <w:sz w:val="20"/>
          <w:szCs w:val="20"/>
        </w:rPr>
      </w:pPr>
      <w:r>
        <w:rPr>
          <w:rFonts w:ascii="Cambria" w:hAnsi="Cambria" w:cs="Cambria"/>
          <w:color w:val="000000"/>
          <w:sz w:val="20"/>
          <w:szCs w:val="20"/>
        </w:rPr>
        <w:t>15.2. Dodávateľ prehlasuje, že podniká na základe licencie na predaj elektrin</w:t>
      </w:r>
      <w:r w:rsidR="002E3859">
        <w:rPr>
          <w:rFonts w:ascii="Cambria" w:hAnsi="Cambria" w:cs="Cambria"/>
          <w:color w:val="000000"/>
          <w:sz w:val="20"/>
          <w:szCs w:val="20"/>
        </w:rPr>
        <w:t>y č. 2011E0444</w:t>
      </w:r>
      <w:r>
        <w:rPr>
          <w:rFonts w:ascii="Cambria" w:hAnsi="Cambria" w:cs="Cambria"/>
          <w:color w:val="000000"/>
          <w:sz w:val="20"/>
          <w:szCs w:val="20"/>
        </w:rPr>
        <w:t xml:space="preserve"> znení neskorších zmien vydanej ÚRSO.</w:t>
      </w:r>
    </w:p>
    <w:p w:rsidR="006C2385" w:rsidRDefault="006C2385" w:rsidP="00504EAA">
      <w:pPr>
        <w:autoSpaceDE w:val="0"/>
        <w:autoSpaceDN w:val="0"/>
        <w:adjustRightInd w:val="0"/>
        <w:ind w:right="-2"/>
        <w:jc w:val="center"/>
        <w:rPr>
          <w:rFonts w:ascii="Cambria" w:hAnsi="Cambria"/>
          <w:b/>
          <w:bCs/>
          <w:sz w:val="20"/>
          <w:szCs w:val="20"/>
          <w:lang w:eastAsia="sk-SK"/>
        </w:rPr>
      </w:pPr>
    </w:p>
    <w:p w:rsidR="006C2385" w:rsidRDefault="006C2385" w:rsidP="00504EAA">
      <w:pPr>
        <w:autoSpaceDE w:val="0"/>
        <w:autoSpaceDN w:val="0"/>
        <w:adjustRightInd w:val="0"/>
        <w:ind w:right="-2"/>
        <w:jc w:val="both"/>
        <w:rPr>
          <w:rFonts w:ascii="Cambria" w:hAnsi="Cambria"/>
          <w:sz w:val="20"/>
          <w:szCs w:val="20"/>
          <w:lang w:eastAsia="sk-SK"/>
        </w:rPr>
      </w:pPr>
      <w:r>
        <w:rPr>
          <w:rFonts w:ascii="Cambria" w:hAnsi="Cambria"/>
          <w:bCs/>
          <w:sz w:val="20"/>
          <w:szCs w:val="20"/>
          <w:lang w:eastAsia="sk-SK"/>
        </w:rPr>
        <w:t>15.3</w:t>
      </w:r>
      <w:r w:rsidRPr="00504EAA">
        <w:rPr>
          <w:rFonts w:ascii="Cambria" w:hAnsi="Cambria"/>
          <w:bCs/>
          <w:sz w:val="20"/>
          <w:szCs w:val="20"/>
          <w:lang w:eastAsia="sk-SK"/>
        </w:rPr>
        <w:t>.</w:t>
      </w:r>
      <w:r>
        <w:rPr>
          <w:rFonts w:ascii="Cambria" w:hAnsi="Cambria"/>
          <w:sz w:val="20"/>
          <w:szCs w:val="20"/>
          <w:lang w:eastAsia="sk-SK"/>
        </w:rPr>
        <w:t>Dodávateľ predkladá v prílohe č. 3</w:t>
      </w:r>
      <w:r w:rsidRPr="0025284A">
        <w:rPr>
          <w:rFonts w:ascii="Cambria" w:hAnsi="Cambria"/>
          <w:sz w:val="20"/>
          <w:szCs w:val="20"/>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w:t>
      </w:r>
      <w:r>
        <w:rPr>
          <w:rFonts w:ascii="Cambria" w:hAnsi="Cambria"/>
          <w:sz w:val="20"/>
          <w:szCs w:val="20"/>
          <w:lang w:eastAsia="sk-SK"/>
        </w:rPr>
        <w:t>Dodávateľ</w:t>
      </w:r>
      <w:r w:rsidRPr="0025284A">
        <w:rPr>
          <w:rFonts w:ascii="Cambria" w:hAnsi="Cambria"/>
          <w:sz w:val="20"/>
          <w:szCs w:val="20"/>
          <w:lang w:eastAsia="sk-SK"/>
        </w:rPr>
        <w:t xml:space="preserve"> povinný oznámiť Objednávateľovi akúkoľvek zmenu údajov o subdodávateľovi. </w:t>
      </w:r>
    </w:p>
    <w:p w:rsidR="006C2385" w:rsidRDefault="006C2385" w:rsidP="00504EAA">
      <w:pPr>
        <w:autoSpaceDE w:val="0"/>
        <w:autoSpaceDN w:val="0"/>
        <w:adjustRightInd w:val="0"/>
        <w:ind w:right="-2"/>
        <w:jc w:val="both"/>
        <w:rPr>
          <w:rFonts w:ascii="Cambria" w:hAnsi="Cambria"/>
          <w:sz w:val="20"/>
          <w:szCs w:val="20"/>
          <w:lang w:eastAsia="sk-SK"/>
        </w:rPr>
      </w:pPr>
    </w:p>
    <w:p w:rsidR="006C2385" w:rsidRDefault="006C2385" w:rsidP="00504EAA">
      <w:pPr>
        <w:autoSpaceDE w:val="0"/>
        <w:autoSpaceDN w:val="0"/>
        <w:adjustRightInd w:val="0"/>
        <w:ind w:right="-2"/>
        <w:jc w:val="both"/>
        <w:rPr>
          <w:rFonts w:ascii="Cambria" w:hAnsi="Cambria"/>
          <w:sz w:val="20"/>
          <w:szCs w:val="20"/>
          <w:lang w:eastAsia="sk-SK"/>
        </w:rPr>
      </w:pPr>
      <w:r>
        <w:rPr>
          <w:rFonts w:ascii="Cambria" w:hAnsi="Cambria"/>
          <w:sz w:val="20"/>
          <w:szCs w:val="20"/>
          <w:lang w:eastAsia="sk-SK"/>
        </w:rPr>
        <w:t xml:space="preserve">15.4. Dodávateľ </w:t>
      </w:r>
      <w:r w:rsidRPr="0025284A">
        <w:rPr>
          <w:rFonts w:ascii="Cambria" w:hAnsi="Cambria"/>
          <w:sz w:val="20"/>
          <w:szCs w:val="20"/>
          <w:lang w:eastAsia="sk-SK"/>
        </w:rPr>
        <w:t xml:space="preserve">je oprávnený </w:t>
      </w:r>
      <w:r>
        <w:rPr>
          <w:rFonts w:ascii="Cambria" w:hAnsi="Cambria"/>
          <w:sz w:val="20"/>
          <w:szCs w:val="20"/>
          <w:lang w:eastAsia="sk-SK"/>
        </w:rPr>
        <w:t>kedykoľvek počas trvania tejto z</w:t>
      </w:r>
      <w:r w:rsidRPr="0025284A">
        <w:rPr>
          <w:rFonts w:ascii="Cambria" w:hAnsi="Cambria"/>
          <w:sz w:val="20"/>
          <w:szCs w:val="20"/>
          <w:lang w:eastAsia="sk-SK"/>
        </w:rPr>
        <w:t xml:space="preserve">mluvy vymeniť ktoréhokoľvek subdodávateľa, a to za predpokladu, že nový subdodávateľ spĺňa požiadavky  uvedené v </w:t>
      </w:r>
      <w:proofErr w:type="spellStart"/>
      <w:r w:rsidRPr="0025284A">
        <w:rPr>
          <w:rFonts w:ascii="Cambria" w:hAnsi="Cambria"/>
          <w:sz w:val="20"/>
          <w:szCs w:val="20"/>
          <w:lang w:eastAsia="sk-SK"/>
        </w:rPr>
        <w:t>ust</w:t>
      </w:r>
      <w:proofErr w:type="spellEnd"/>
      <w:r w:rsidRPr="0025284A">
        <w:rPr>
          <w:rFonts w:ascii="Cambria" w:hAnsi="Cambria"/>
          <w:sz w:val="20"/>
          <w:szCs w:val="20"/>
          <w:lang w:eastAsia="sk-SK"/>
        </w:rPr>
        <w:t xml:space="preserve">. § 41 ods.1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w:t>
      </w:r>
      <w:r>
        <w:rPr>
          <w:rFonts w:ascii="Cambria" w:hAnsi="Cambria"/>
          <w:sz w:val="20"/>
          <w:szCs w:val="20"/>
          <w:lang w:eastAsia="sk-SK"/>
        </w:rPr>
        <w:t>Dodávateľ</w:t>
      </w:r>
      <w:r w:rsidRPr="0025284A">
        <w:rPr>
          <w:rFonts w:ascii="Cambria" w:hAnsi="Cambria"/>
          <w:sz w:val="20"/>
          <w:szCs w:val="20"/>
          <w:lang w:eastAsia="sk-SK"/>
        </w:rPr>
        <w:t xml:space="preserve"> povinný oznámiť O</w:t>
      </w:r>
      <w:r>
        <w:rPr>
          <w:rFonts w:ascii="Cambria" w:hAnsi="Cambria"/>
          <w:sz w:val="20"/>
          <w:szCs w:val="20"/>
          <w:lang w:eastAsia="sk-SK"/>
        </w:rPr>
        <w:t>dberateľovi</w:t>
      </w:r>
      <w:r w:rsidRPr="0025284A">
        <w:rPr>
          <w:rFonts w:ascii="Cambria" w:hAnsi="Cambria"/>
          <w:sz w:val="20"/>
          <w:szCs w:val="20"/>
          <w:lang w:eastAsia="sk-SK"/>
        </w:rPr>
        <w:t xml:space="preserve"> (identifikačné) údaje o novom subdodávateľovi a o osobe oprávnenej konať za nového subdodávateľa v rozsahu meno a priezvisko, adresa pobytu, dátum narodenia</w:t>
      </w:r>
      <w:r>
        <w:rPr>
          <w:rFonts w:ascii="Cambria" w:hAnsi="Cambria"/>
          <w:sz w:val="20"/>
          <w:szCs w:val="20"/>
          <w:lang w:eastAsia="sk-SK"/>
        </w:rPr>
        <w:t>. Až do splnenia predmetu tejto zmluvy je Dodávateľ</w:t>
      </w:r>
      <w:r w:rsidRPr="0025284A">
        <w:rPr>
          <w:rFonts w:ascii="Cambria" w:hAnsi="Cambria"/>
          <w:sz w:val="20"/>
          <w:szCs w:val="20"/>
          <w:lang w:eastAsia="sk-SK"/>
        </w:rPr>
        <w:t xml:space="preserve"> povinný oznámiť </w:t>
      </w:r>
      <w:r>
        <w:rPr>
          <w:rFonts w:ascii="Cambria" w:hAnsi="Cambria"/>
          <w:sz w:val="20"/>
          <w:szCs w:val="20"/>
          <w:lang w:eastAsia="sk-SK"/>
        </w:rPr>
        <w:t>Odberateľovi</w:t>
      </w:r>
      <w:r w:rsidRPr="0025284A">
        <w:rPr>
          <w:rFonts w:ascii="Cambria" w:hAnsi="Cambria"/>
          <w:sz w:val="20"/>
          <w:szCs w:val="20"/>
          <w:lang w:eastAsia="sk-SK"/>
        </w:rPr>
        <w:t xml:space="preserve"> akúkoľvek zmenu údajov o novom subdodávateľovi. </w:t>
      </w:r>
    </w:p>
    <w:p w:rsidR="006C2385" w:rsidRDefault="006C2385" w:rsidP="00504EAA">
      <w:pPr>
        <w:autoSpaceDE w:val="0"/>
        <w:autoSpaceDN w:val="0"/>
        <w:adjustRightInd w:val="0"/>
        <w:ind w:right="-2"/>
        <w:jc w:val="both"/>
        <w:rPr>
          <w:rFonts w:ascii="Cambria" w:hAnsi="Cambria"/>
          <w:sz w:val="20"/>
          <w:szCs w:val="20"/>
          <w:lang w:eastAsia="sk-SK"/>
        </w:rPr>
      </w:pPr>
    </w:p>
    <w:p w:rsidR="006C2385" w:rsidRPr="00504EAA" w:rsidRDefault="006C2385" w:rsidP="00504EAA">
      <w:pPr>
        <w:autoSpaceDE w:val="0"/>
        <w:autoSpaceDN w:val="0"/>
        <w:adjustRightInd w:val="0"/>
        <w:ind w:right="-2"/>
        <w:jc w:val="both"/>
        <w:rPr>
          <w:rFonts w:ascii="Cambria" w:hAnsi="Cambria"/>
          <w:sz w:val="20"/>
          <w:szCs w:val="20"/>
          <w:lang w:eastAsia="sk-SK"/>
        </w:rPr>
      </w:pPr>
      <w:r>
        <w:rPr>
          <w:rFonts w:ascii="Cambria" w:hAnsi="Cambria"/>
          <w:sz w:val="20"/>
          <w:szCs w:val="20"/>
          <w:lang w:eastAsia="sk-SK"/>
        </w:rPr>
        <w:t xml:space="preserve">15.5. </w:t>
      </w:r>
      <w:r w:rsidRPr="00131453">
        <w:rPr>
          <w:rFonts w:ascii="Cambria" w:hAnsi="Cambria"/>
          <w:sz w:val="20"/>
          <w:szCs w:val="20"/>
          <w:lang w:eastAsia="sk-SK"/>
        </w:rPr>
        <w:t xml:space="preserve">Zoznam osôb, ktorých zdroje a kapacity boli </w:t>
      </w:r>
      <w:r>
        <w:rPr>
          <w:rFonts w:ascii="Cambria" w:hAnsi="Cambria"/>
          <w:sz w:val="20"/>
          <w:szCs w:val="20"/>
          <w:lang w:eastAsia="sk-SK"/>
        </w:rPr>
        <w:t>Dodávateľo</w:t>
      </w:r>
      <w:r w:rsidRPr="00131453">
        <w:rPr>
          <w:rFonts w:ascii="Cambria" w:hAnsi="Cambria"/>
          <w:sz w:val="20"/>
          <w:szCs w:val="20"/>
          <w:lang w:eastAsia="sk-SK"/>
        </w:rPr>
        <w:t xml:space="preserve">m použité na preukázanie splnenia podmienok účasti: </w:t>
      </w:r>
    </w:p>
    <w:p w:rsidR="006C2385" w:rsidRPr="003A2462" w:rsidRDefault="006C2385" w:rsidP="00504EAA">
      <w:pPr>
        <w:widowControl w:val="0"/>
        <w:autoSpaceDE w:val="0"/>
        <w:autoSpaceDN w:val="0"/>
        <w:adjustRightInd w:val="0"/>
        <w:ind w:left="1276" w:hanging="198"/>
        <w:jc w:val="both"/>
        <w:rPr>
          <w:rFonts w:ascii="Cambria" w:hAnsi="Cambria"/>
          <w:sz w:val="20"/>
          <w:szCs w:val="20"/>
          <w:lang w:eastAsia="sk-SK"/>
        </w:rPr>
      </w:pPr>
      <w:r w:rsidRPr="003A2462">
        <w:rPr>
          <w:rFonts w:ascii="Cambria" w:hAnsi="Cambria"/>
          <w:sz w:val="20"/>
          <w:szCs w:val="20"/>
          <w:lang w:eastAsia="sk-SK"/>
        </w:rPr>
        <w:t>1</w:t>
      </w:r>
      <w:r w:rsidR="003A2462">
        <w:rPr>
          <w:rFonts w:ascii="Cambria" w:hAnsi="Cambria"/>
          <w:sz w:val="20"/>
          <w:szCs w:val="20"/>
          <w:lang w:eastAsia="sk-SK"/>
        </w:rPr>
        <w:t>. ............</w:t>
      </w:r>
    </w:p>
    <w:p w:rsidR="006C2385" w:rsidRPr="00131453" w:rsidRDefault="006C2385" w:rsidP="00504EAA">
      <w:pPr>
        <w:widowControl w:val="0"/>
        <w:autoSpaceDE w:val="0"/>
        <w:autoSpaceDN w:val="0"/>
        <w:adjustRightInd w:val="0"/>
        <w:ind w:left="1276" w:hanging="198"/>
        <w:jc w:val="both"/>
        <w:rPr>
          <w:rFonts w:ascii="Cambria" w:hAnsi="Cambria"/>
          <w:sz w:val="20"/>
          <w:szCs w:val="20"/>
          <w:lang w:eastAsia="sk-SK"/>
        </w:rPr>
      </w:pPr>
      <w:r>
        <w:rPr>
          <w:rFonts w:ascii="Cambria" w:hAnsi="Cambria"/>
          <w:sz w:val="20"/>
          <w:szCs w:val="20"/>
          <w:lang w:eastAsia="sk-SK"/>
        </w:rPr>
        <w:t>2. .</w:t>
      </w:r>
      <w:r w:rsidRPr="00131453">
        <w:rPr>
          <w:rFonts w:ascii="Cambria" w:hAnsi="Cambria"/>
          <w:sz w:val="20"/>
          <w:szCs w:val="20"/>
          <w:lang w:eastAsia="sk-SK"/>
        </w:rPr>
        <w:t>........</w:t>
      </w:r>
      <w:r w:rsidR="003A2462">
        <w:rPr>
          <w:rFonts w:ascii="Cambria" w:hAnsi="Cambria"/>
          <w:sz w:val="20"/>
          <w:szCs w:val="20"/>
          <w:lang w:eastAsia="sk-SK"/>
        </w:rPr>
        <w:t>...</w:t>
      </w:r>
    </w:p>
    <w:p w:rsidR="006C2385" w:rsidRDefault="006C2385" w:rsidP="006D6905">
      <w:pPr>
        <w:widowControl w:val="0"/>
        <w:autoSpaceDE w:val="0"/>
        <w:autoSpaceDN w:val="0"/>
        <w:adjustRightInd w:val="0"/>
        <w:ind w:left="1276" w:hanging="198"/>
        <w:jc w:val="both"/>
        <w:rPr>
          <w:rFonts w:ascii="Cambria" w:hAnsi="Cambria"/>
          <w:sz w:val="20"/>
          <w:szCs w:val="20"/>
          <w:lang w:eastAsia="sk-SK"/>
        </w:rPr>
      </w:pPr>
      <w:r w:rsidRPr="00131453">
        <w:rPr>
          <w:rFonts w:ascii="Cambria" w:hAnsi="Cambria"/>
          <w:sz w:val="20"/>
          <w:szCs w:val="20"/>
          <w:lang w:eastAsia="sk-SK"/>
        </w:rPr>
        <w:t>3. .........</w:t>
      </w:r>
      <w:r>
        <w:rPr>
          <w:rFonts w:ascii="Cambria" w:hAnsi="Cambria"/>
          <w:sz w:val="20"/>
          <w:szCs w:val="20"/>
          <w:lang w:eastAsia="sk-SK"/>
        </w:rPr>
        <w:t xml:space="preserve">... </w:t>
      </w:r>
    </w:p>
    <w:p w:rsidR="003A2462" w:rsidRDefault="003A2462" w:rsidP="006D6905">
      <w:pPr>
        <w:widowControl w:val="0"/>
        <w:autoSpaceDE w:val="0"/>
        <w:autoSpaceDN w:val="0"/>
        <w:adjustRightInd w:val="0"/>
        <w:ind w:left="1276" w:hanging="198"/>
        <w:jc w:val="both"/>
        <w:rPr>
          <w:rFonts w:ascii="Cambria" w:hAnsi="Cambria"/>
          <w:sz w:val="20"/>
          <w:szCs w:val="20"/>
          <w:lang w:eastAsia="sk-SK"/>
        </w:rPr>
      </w:pPr>
    </w:p>
    <w:p w:rsidR="006C2385" w:rsidRPr="00317173" w:rsidRDefault="006C2385" w:rsidP="006D6905">
      <w:pPr>
        <w:widowControl w:val="0"/>
        <w:autoSpaceDE w:val="0"/>
        <w:autoSpaceDN w:val="0"/>
        <w:adjustRightInd w:val="0"/>
        <w:jc w:val="both"/>
        <w:rPr>
          <w:rFonts w:ascii="Cambria" w:hAnsi="Cambria"/>
          <w:sz w:val="20"/>
          <w:szCs w:val="20"/>
          <w:lang w:eastAsia="sk-SK"/>
        </w:rPr>
      </w:pPr>
      <w:r>
        <w:rPr>
          <w:rFonts w:ascii="Cambria" w:hAnsi="Cambria"/>
          <w:sz w:val="20"/>
          <w:szCs w:val="20"/>
          <w:lang w:eastAsia="sk-SK"/>
        </w:rPr>
        <w:t>15.6. Osoby uvedené v bode 15.5</w:t>
      </w:r>
      <w:r w:rsidRPr="00131453">
        <w:rPr>
          <w:rFonts w:ascii="Cambria" w:hAnsi="Cambria"/>
          <w:sz w:val="20"/>
          <w:szCs w:val="20"/>
          <w:lang w:eastAsia="sk-SK"/>
        </w:rPr>
        <w:t>. zodpovedajú za plnenie tejto zmluvy spoločne a nerozdielne  spolu s</w:t>
      </w:r>
      <w:r>
        <w:rPr>
          <w:rFonts w:ascii="Cambria" w:hAnsi="Cambria"/>
          <w:sz w:val="20"/>
          <w:szCs w:val="20"/>
          <w:lang w:eastAsia="sk-SK"/>
        </w:rPr>
        <w:t xml:space="preserve"> Dodávateľom </w:t>
      </w:r>
      <w:r w:rsidRPr="00131453">
        <w:rPr>
          <w:rFonts w:ascii="Cambria" w:hAnsi="Cambria"/>
          <w:sz w:val="20"/>
          <w:szCs w:val="20"/>
          <w:lang w:eastAsia="sk-SK"/>
        </w:rPr>
        <w:t xml:space="preserve">v zmysle </w:t>
      </w:r>
      <w:proofErr w:type="spellStart"/>
      <w:r w:rsidRPr="00131453">
        <w:rPr>
          <w:rFonts w:ascii="Cambria" w:hAnsi="Cambria"/>
          <w:sz w:val="20"/>
          <w:szCs w:val="20"/>
          <w:lang w:eastAsia="sk-SK"/>
        </w:rPr>
        <w:t>ust</w:t>
      </w:r>
      <w:proofErr w:type="spellEnd"/>
      <w:r w:rsidRPr="00131453">
        <w:rPr>
          <w:rFonts w:ascii="Cambria" w:hAnsi="Cambria"/>
          <w:sz w:val="20"/>
          <w:szCs w:val="20"/>
          <w:lang w:eastAsia="sk-SK"/>
        </w:rPr>
        <w:t xml:space="preserve">. § 511 ods.1 Občianskeho </w:t>
      </w:r>
      <w:r w:rsidRPr="00131453">
        <w:rPr>
          <w:rFonts w:ascii="Cambria" w:hAnsi="Cambria"/>
          <w:i/>
          <w:sz w:val="20"/>
          <w:szCs w:val="20"/>
          <w:lang w:eastAsia="sk-SK"/>
        </w:rPr>
        <w:t>zákonníka</w:t>
      </w:r>
      <w:r w:rsidRPr="00131453">
        <w:rPr>
          <w:rFonts w:ascii="Cambria" w:hAnsi="Cambria"/>
          <w:sz w:val="20"/>
          <w:szCs w:val="20"/>
          <w:lang w:eastAsia="sk-SK"/>
        </w:rPr>
        <w:t xml:space="preserve"> ( zákon č. 40/1964 Zb. v znení neskorších predpisov). Ak dlh voči O</w:t>
      </w:r>
      <w:r>
        <w:rPr>
          <w:rFonts w:ascii="Cambria" w:hAnsi="Cambria"/>
          <w:sz w:val="20"/>
          <w:szCs w:val="20"/>
          <w:lang w:eastAsia="sk-SK"/>
        </w:rPr>
        <w:t>dberateľovi</w:t>
      </w:r>
      <w:r w:rsidRPr="00131453">
        <w:rPr>
          <w:rFonts w:ascii="Cambria" w:hAnsi="Cambria"/>
          <w:sz w:val="20"/>
          <w:szCs w:val="20"/>
          <w:lang w:eastAsia="sk-SK"/>
        </w:rPr>
        <w:t xml:space="preserve"> splní </w:t>
      </w:r>
      <w:r>
        <w:rPr>
          <w:rFonts w:ascii="Cambria" w:hAnsi="Cambria"/>
          <w:sz w:val="20"/>
          <w:szCs w:val="20"/>
          <w:lang w:eastAsia="sk-SK"/>
        </w:rPr>
        <w:t>Dodávateľ</w:t>
      </w:r>
      <w:r w:rsidRPr="00131453">
        <w:rPr>
          <w:rFonts w:ascii="Cambria" w:hAnsi="Cambria"/>
          <w:sz w:val="20"/>
          <w:szCs w:val="20"/>
          <w:lang w:eastAsia="sk-SK"/>
        </w:rPr>
        <w:t xml:space="preserve"> alebo </w:t>
      </w:r>
      <w:r>
        <w:rPr>
          <w:rFonts w:ascii="Cambria" w:hAnsi="Cambria"/>
          <w:sz w:val="20"/>
          <w:szCs w:val="20"/>
          <w:lang w:eastAsia="sk-SK"/>
        </w:rPr>
        <w:t>jedna z osôb uvedených v bode 15.5</w:t>
      </w:r>
      <w:r w:rsidRPr="00131453">
        <w:rPr>
          <w:rFonts w:ascii="Cambria" w:hAnsi="Cambria"/>
          <w:sz w:val="20"/>
          <w:szCs w:val="20"/>
          <w:lang w:eastAsia="sk-SK"/>
        </w:rPr>
        <w:t>. tejto zmluvy, povinnosť ostatných zanikne. Veľkosti podielov na dlhu u jednotlivých d</w:t>
      </w:r>
      <w:r>
        <w:rPr>
          <w:rFonts w:ascii="Cambria" w:hAnsi="Cambria"/>
          <w:sz w:val="20"/>
          <w:szCs w:val="20"/>
          <w:lang w:eastAsia="sk-SK"/>
        </w:rPr>
        <w:t>lžníkov nie sú predmetom tejto z</w:t>
      </w:r>
      <w:r w:rsidRPr="00131453">
        <w:rPr>
          <w:rFonts w:ascii="Cambria" w:hAnsi="Cambria"/>
          <w:sz w:val="20"/>
          <w:szCs w:val="20"/>
          <w:lang w:eastAsia="sk-SK"/>
        </w:rPr>
        <w:t xml:space="preserve">mluvy. Osoby uvedené v </w:t>
      </w:r>
      <w:r>
        <w:rPr>
          <w:rFonts w:ascii="Cambria" w:hAnsi="Cambria"/>
          <w:sz w:val="20"/>
          <w:szCs w:val="20"/>
          <w:lang w:eastAsia="sk-SK"/>
        </w:rPr>
        <w:t>bode 15.5. tejto zmluvy svoj záv</w:t>
      </w:r>
      <w:r w:rsidRPr="00131453">
        <w:rPr>
          <w:rFonts w:ascii="Cambria" w:hAnsi="Cambria"/>
          <w:sz w:val="20"/>
          <w:szCs w:val="20"/>
          <w:lang w:eastAsia="sk-SK"/>
        </w:rPr>
        <w:t>äzok spoločný s</w:t>
      </w:r>
      <w:r>
        <w:rPr>
          <w:rFonts w:ascii="Cambria" w:hAnsi="Cambria"/>
          <w:sz w:val="20"/>
          <w:szCs w:val="20"/>
          <w:lang w:eastAsia="sk-SK"/>
        </w:rPr>
        <w:t> dodávateľom potvrdzujú podpisom tejto z</w:t>
      </w:r>
      <w:r w:rsidRPr="00131453">
        <w:rPr>
          <w:rFonts w:ascii="Cambria" w:hAnsi="Cambria"/>
          <w:sz w:val="20"/>
          <w:szCs w:val="20"/>
          <w:lang w:eastAsia="sk-SK"/>
        </w:rPr>
        <w:t>mluvy.</w:t>
      </w:r>
    </w:p>
    <w:p w:rsidR="006C2385" w:rsidRPr="00504EAA" w:rsidRDefault="006C2385" w:rsidP="00504EAA">
      <w:pPr>
        <w:autoSpaceDE w:val="0"/>
        <w:autoSpaceDN w:val="0"/>
        <w:adjustRightInd w:val="0"/>
        <w:ind w:right="-2"/>
        <w:jc w:val="both"/>
        <w:rPr>
          <w:rFonts w:ascii="Cambria" w:hAnsi="Cambria"/>
          <w:b/>
          <w:bCs/>
          <w:sz w:val="20"/>
          <w:szCs w:val="20"/>
          <w:lang w:eastAsia="sk-SK"/>
        </w:rPr>
      </w:pP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XVI.</w:t>
      </w:r>
    </w:p>
    <w:p w:rsidR="006C2385" w:rsidRDefault="006C2385" w:rsidP="006F0472">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Záverečné ustanovenia</w:t>
      </w:r>
    </w:p>
    <w:p w:rsidR="006C2385" w:rsidRDefault="006C2385" w:rsidP="006F0472">
      <w:pPr>
        <w:autoSpaceDE w:val="0"/>
        <w:autoSpaceDN w:val="0"/>
        <w:adjustRightInd w:val="0"/>
        <w:jc w:val="center"/>
        <w:rPr>
          <w:rFonts w:ascii="Cambria" w:hAnsi="Cambria" w:cs="Cambria"/>
          <w:b/>
          <w:bCs/>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16.1. Neoddeliteľnou súčasťou Zmluvy sú:</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r>
      <w:r w:rsidRPr="006D6905">
        <w:rPr>
          <w:rFonts w:ascii="Cambria" w:hAnsi="Cambria" w:cs="Cambria"/>
          <w:b/>
          <w:color w:val="000000"/>
          <w:sz w:val="20"/>
          <w:szCs w:val="20"/>
        </w:rPr>
        <w:t>a)</w:t>
      </w:r>
      <w:r w:rsidR="00E3049C">
        <w:rPr>
          <w:rFonts w:ascii="Cambria" w:hAnsi="Cambria" w:cs="Cambria"/>
          <w:b/>
          <w:color w:val="000000"/>
          <w:sz w:val="20"/>
          <w:szCs w:val="20"/>
        </w:rPr>
        <w:t xml:space="preserve"> </w:t>
      </w:r>
      <w:r>
        <w:rPr>
          <w:rFonts w:ascii="Cambria" w:hAnsi="Cambria" w:cs="Cambria"/>
          <w:b/>
          <w:bCs/>
          <w:color w:val="000000"/>
          <w:sz w:val="20"/>
          <w:szCs w:val="20"/>
        </w:rPr>
        <w:t xml:space="preserve">Príloha č. 1 </w:t>
      </w:r>
      <w:r>
        <w:rPr>
          <w:rFonts w:ascii="Cambria" w:hAnsi="Cambria" w:cs="Cambria"/>
          <w:color w:val="000000"/>
          <w:sz w:val="20"/>
          <w:szCs w:val="20"/>
        </w:rPr>
        <w:t xml:space="preserve">- </w:t>
      </w:r>
      <w:r w:rsidR="00E3049C">
        <w:rPr>
          <w:rFonts w:ascii="Cambria" w:hAnsi="Cambria" w:cs="Cambria"/>
          <w:color w:val="000000"/>
          <w:sz w:val="20"/>
          <w:szCs w:val="20"/>
        </w:rPr>
        <w:t xml:space="preserve"> </w:t>
      </w:r>
      <w:r>
        <w:rPr>
          <w:rFonts w:ascii="Cambria" w:hAnsi="Cambria" w:cs="Cambria"/>
          <w:color w:val="000000"/>
          <w:sz w:val="20"/>
          <w:szCs w:val="20"/>
        </w:rPr>
        <w:t>Miesta dodania - odberné miesta (OM)</w:t>
      </w:r>
    </w:p>
    <w:p w:rsidR="003A2462" w:rsidRDefault="006C2385" w:rsidP="006D6905">
      <w:pPr>
        <w:autoSpaceDE w:val="0"/>
        <w:autoSpaceDN w:val="0"/>
        <w:adjustRightInd w:val="0"/>
        <w:jc w:val="both"/>
        <w:rPr>
          <w:rFonts w:ascii="Cambria" w:hAnsi="Cambria" w:cs="Cambria"/>
          <w:i/>
          <w:color w:val="FF0000"/>
          <w:sz w:val="20"/>
          <w:szCs w:val="20"/>
        </w:rPr>
      </w:pPr>
      <w:r>
        <w:rPr>
          <w:rFonts w:ascii="Cambria" w:hAnsi="Cambria" w:cs="Cambria"/>
          <w:color w:val="000000"/>
          <w:sz w:val="20"/>
          <w:szCs w:val="20"/>
        </w:rPr>
        <w:tab/>
      </w:r>
      <w:r w:rsidRPr="006D6905">
        <w:rPr>
          <w:rFonts w:ascii="Cambria" w:hAnsi="Cambria" w:cs="Cambria"/>
          <w:b/>
          <w:color w:val="000000"/>
          <w:sz w:val="20"/>
          <w:szCs w:val="20"/>
        </w:rPr>
        <w:t>b</w:t>
      </w:r>
      <w:r w:rsidRPr="006D6905">
        <w:rPr>
          <w:rFonts w:ascii="Cambria" w:hAnsi="Cambria" w:cs="Cambria"/>
          <w:b/>
          <w:bCs/>
          <w:color w:val="000000"/>
          <w:sz w:val="20"/>
          <w:szCs w:val="20"/>
        </w:rPr>
        <w:t>)</w:t>
      </w:r>
      <w:r>
        <w:rPr>
          <w:rFonts w:ascii="Cambria" w:hAnsi="Cambria" w:cs="Cambria"/>
          <w:b/>
          <w:bCs/>
          <w:color w:val="000000"/>
          <w:sz w:val="20"/>
          <w:szCs w:val="20"/>
        </w:rPr>
        <w:t xml:space="preserve"> Príloha č. 2</w:t>
      </w:r>
      <w:r>
        <w:rPr>
          <w:rFonts w:ascii="Cambria" w:hAnsi="Cambria" w:cs="Cambria"/>
          <w:color w:val="000000"/>
          <w:sz w:val="20"/>
          <w:szCs w:val="20"/>
        </w:rPr>
        <w:t xml:space="preserve"> – Návrh ponúkaných služieb</w:t>
      </w:r>
      <w:r>
        <w:rPr>
          <w:rFonts w:ascii="Cambria" w:hAnsi="Cambria" w:cs="Cambria"/>
          <w:i/>
          <w:color w:val="FF0000"/>
          <w:sz w:val="20"/>
          <w:szCs w:val="20"/>
        </w:rPr>
        <w:tab/>
      </w:r>
    </w:p>
    <w:p w:rsidR="006C2385" w:rsidRPr="006D6905" w:rsidRDefault="006C2385" w:rsidP="003A2462">
      <w:pPr>
        <w:autoSpaceDE w:val="0"/>
        <w:autoSpaceDN w:val="0"/>
        <w:adjustRightInd w:val="0"/>
        <w:ind w:firstLine="708"/>
        <w:jc w:val="both"/>
        <w:rPr>
          <w:rFonts w:ascii="Cambria" w:hAnsi="Cambria" w:cs="Cambria"/>
          <w:color w:val="000000"/>
          <w:sz w:val="20"/>
          <w:szCs w:val="20"/>
        </w:rPr>
      </w:pPr>
      <w:r w:rsidRPr="006D6905">
        <w:rPr>
          <w:rFonts w:ascii="Cambria" w:hAnsi="Cambria" w:cs="Cambria"/>
          <w:b/>
          <w:sz w:val="20"/>
          <w:szCs w:val="20"/>
        </w:rPr>
        <w:t>c) Príloha č. 3</w:t>
      </w:r>
      <w:r w:rsidRPr="006D6905">
        <w:rPr>
          <w:rFonts w:ascii="Cambria" w:hAnsi="Cambria" w:cs="Cambria"/>
          <w:sz w:val="20"/>
          <w:szCs w:val="20"/>
        </w:rPr>
        <w:t xml:space="preserve"> – Zoznam subdodávateľov</w:t>
      </w:r>
    </w:p>
    <w:p w:rsidR="006C2385" w:rsidRDefault="006C2385" w:rsidP="006D6905">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16.2. </w:t>
      </w:r>
      <w:r w:rsidRPr="00131453">
        <w:rPr>
          <w:rFonts w:ascii="Cambria" w:hAnsi="Cambria"/>
          <w:sz w:val="20"/>
          <w:szCs w:val="20"/>
          <w:lang w:eastAsia="sk-SK"/>
        </w:rPr>
        <w:t xml:space="preserve">Akékoľvek dohody, </w:t>
      </w:r>
      <w:r>
        <w:rPr>
          <w:rFonts w:ascii="Cambria" w:hAnsi="Cambria"/>
          <w:sz w:val="20"/>
          <w:szCs w:val="20"/>
          <w:lang w:eastAsia="sk-SK"/>
        </w:rPr>
        <w:t>zmeny, alebo doplnenia k tejto z</w:t>
      </w:r>
      <w:r w:rsidRPr="00131453">
        <w:rPr>
          <w:rFonts w:ascii="Cambria" w:hAnsi="Cambria"/>
          <w:sz w:val="20"/>
          <w:szCs w:val="20"/>
          <w:lang w:eastAsia="sk-SK"/>
        </w:rPr>
        <w:t>mluve sú pre strany záväzné len vtedy, keď sú obojstranne podpísané a nadobudnú úči</w:t>
      </w:r>
      <w:r>
        <w:rPr>
          <w:rFonts w:ascii="Cambria" w:hAnsi="Cambria"/>
          <w:sz w:val="20"/>
          <w:szCs w:val="20"/>
          <w:lang w:eastAsia="sk-SK"/>
        </w:rPr>
        <w:t xml:space="preserve">nnosť. Návrhy dodatkov k tejto zmluve </w:t>
      </w:r>
      <w:r w:rsidRPr="00131453">
        <w:rPr>
          <w:rFonts w:ascii="Cambria" w:hAnsi="Cambria"/>
          <w:sz w:val="20"/>
          <w:szCs w:val="20"/>
          <w:lang w:eastAsia="sk-SK"/>
        </w:rPr>
        <w:t>môže predkladať ktorákoľvek zo zmluvných strán.</w:t>
      </w:r>
    </w:p>
    <w:p w:rsidR="00582047" w:rsidRDefault="00582047"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16.3.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16.4. Odberateľ prehlasuje, že sú mu známe Technické podmienky PDS platné ku dňu podpisu Zmluvy, ktoré sú technickým predpisom vydaným územne príslušným PDS a zverejneným v zmysle Zákona o energetike.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16.5. </w:t>
      </w:r>
      <w:r w:rsidR="00F82B08" w:rsidRPr="00F82B08">
        <w:rPr>
          <w:rFonts w:ascii="Cambria" w:hAnsi="Cambria" w:cs="Cambria"/>
          <w:color w:val="000000"/>
          <w:sz w:val="20"/>
          <w:szCs w:val="20"/>
        </w:rPr>
        <w:t>Obe zmluvné strany akceptujú, že pri plnení Zmluvy a vo všetkých veciach neupravených Zmluvou, alebo OP budú postupovať podľa platnej legislatívy, najmä podľa Zákona o energetike, vyhlášky Úradu pre reguláciu sieťových odvetví č. 24/2013 Z. z., Prevádzkových poriadkov miestne príslušných PDS, Obchodného zákonníka a daňových zákonov v platnom znení</w:t>
      </w:r>
      <w:r w:rsidR="00F82B08">
        <w:rPr>
          <w:rFonts w:ascii="Cambria" w:hAnsi="Cambria" w:cs="Cambria"/>
          <w:color w:val="000000"/>
          <w:sz w:val="20"/>
          <w:szCs w:val="20"/>
        </w:rPr>
        <w:t>.</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16.6.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16.7. Obidve zmluvné strany sa dohodli, že spory o výklad a plnenia Zmluvy budú riešiť najskôr vzájomným jednaním a dohodou, a to na úrovni jednania štatutárnych zástupcov zmluvných strán.</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16.8.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 Zmluve alebo v príslušnej prílohe Zmluvy.</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16.9.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lastRenderedPageBreak/>
        <w:t>16.10.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16.11. Zmluva je vyhotovená v 4 rovnopisoch, </w:t>
      </w:r>
      <w:r>
        <w:rPr>
          <w:rFonts w:ascii="Cambria" w:hAnsi="Cambria" w:cs="Cambria"/>
          <w:sz w:val="20"/>
          <w:szCs w:val="20"/>
        </w:rPr>
        <w:t xml:space="preserve">z ktorých po 2 </w:t>
      </w:r>
      <w:proofErr w:type="spellStart"/>
      <w:r>
        <w:rPr>
          <w:rFonts w:ascii="Cambria" w:hAnsi="Cambria" w:cs="Cambria"/>
          <w:sz w:val="20"/>
          <w:szCs w:val="20"/>
        </w:rPr>
        <w:t>obdrží</w:t>
      </w:r>
      <w:proofErr w:type="spellEnd"/>
      <w:r>
        <w:rPr>
          <w:rFonts w:ascii="Cambria" w:hAnsi="Cambria" w:cs="Cambria"/>
          <w:sz w:val="20"/>
          <w:szCs w:val="20"/>
        </w:rPr>
        <w:t xml:space="preserve"> každá zmluvná strana.</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16.12.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p>
    <w:p w:rsidR="006C2385" w:rsidRDefault="006C2385" w:rsidP="006F0472">
      <w:pPr>
        <w:autoSpaceDE w:val="0"/>
        <w:autoSpaceDN w:val="0"/>
        <w:adjustRightInd w:val="0"/>
        <w:jc w:val="both"/>
        <w:rPr>
          <w:rFonts w:ascii="Cambria" w:hAnsi="Cambria" w:cs="Cambria"/>
          <w:color w:val="000000"/>
          <w:sz w:val="20"/>
          <w:szCs w:val="20"/>
        </w:rPr>
      </w:pP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V Topoľčanoch, dňa .....................</w:t>
      </w:r>
      <w:r w:rsidR="003A2462">
        <w:rPr>
          <w:rFonts w:ascii="Cambria" w:hAnsi="Cambria" w:cs="Cambria"/>
          <w:color w:val="000000"/>
          <w:sz w:val="20"/>
          <w:szCs w:val="20"/>
        </w:rPr>
        <w:t>..........</w:t>
      </w:r>
      <w:r w:rsidR="003A2462">
        <w:rPr>
          <w:rFonts w:ascii="Cambria" w:hAnsi="Cambria" w:cs="Cambria"/>
          <w:color w:val="000000"/>
          <w:sz w:val="20"/>
          <w:szCs w:val="20"/>
        </w:rPr>
        <w:tab/>
      </w:r>
      <w:r w:rsidR="003A2462">
        <w:rPr>
          <w:rFonts w:ascii="Cambria" w:hAnsi="Cambria" w:cs="Cambria"/>
          <w:color w:val="000000"/>
          <w:sz w:val="20"/>
          <w:szCs w:val="20"/>
        </w:rPr>
        <w:tab/>
        <w:t xml:space="preserve">V Bratislave, dňa </w:t>
      </w:r>
      <w:r w:rsidR="008F6B7D">
        <w:rPr>
          <w:rFonts w:ascii="Cambria" w:hAnsi="Cambria" w:cs="Cambria"/>
          <w:color w:val="000000"/>
          <w:sz w:val="20"/>
          <w:szCs w:val="20"/>
        </w:rPr>
        <w:t>18.12.2017</w:t>
      </w:r>
    </w:p>
    <w:p w:rsidR="002E3859" w:rsidRDefault="002E3859" w:rsidP="002E3859">
      <w:pPr>
        <w:autoSpaceDE w:val="0"/>
        <w:autoSpaceDN w:val="0"/>
        <w:adjustRightInd w:val="0"/>
        <w:jc w:val="both"/>
        <w:rPr>
          <w:rFonts w:ascii="Cambria" w:hAnsi="Cambria" w:cs="Cambria"/>
          <w:color w:val="000000"/>
          <w:sz w:val="20"/>
          <w:szCs w:val="20"/>
        </w:rPr>
      </w:pPr>
    </w:p>
    <w:p w:rsidR="002E3859" w:rsidRDefault="002E3859"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za odberateľa</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za dodávateľa</w:t>
      </w:r>
    </w:p>
    <w:p w:rsidR="002E3859" w:rsidRDefault="002E3859" w:rsidP="002E3859">
      <w:pPr>
        <w:autoSpaceDE w:val="0"/>
        <w:autoSpaceDN w:val="0"/>
        <w:adjustRightInd w:val="0"/>
        <w:jc w:val="both"/>
        <w:rPr>
          <w:rFonts w:ascii="Cambria" w:hAnsi="Cambria" w:cs="Cambria"/>
          <w:color w:val="000000"/>
          <w:sz w:val="20"/>
          <w:szCs w:val="20"/>
        </w:rPr>
      </w:pPr>
    </w:p>
    <w:p w:rsidR="002E3859" w:rsidRDefault="002E3859" w:rsidP="002E3859">
      <w:pPr>
        <w:autoSpaceDE w:val="0"/>
        <w:autoSpaceDN w:val="0"/>
        <w:adjustRightInd w:val="0"/>
        <w:jc w:val="both"/>
        <w:rPr>
          <w:rFonts w:ascii="Cambria" w:hAnsi="Cambria" w:cs="Cambria"/>
          <w:color w:val="000000"/>
          <w:sz w:val="20"/>
          <w:szCs w:val="20"/>
        </w:rPr>
      </w:pPr>
    </w:p>
    <w:p w:rsidR="002E3859" w:rsidRDefault="002E3859" w:rsidP="002E3859">
      <w:pPr>
        <w:autoSpaceDE w:val="0"/>
        <w:autoSpaceDN w:val="0"/>
        <w:adjustRightInd w:val="0"/>
        <w:jc w:val="both"/>
        <w:rPr>
          <w:rFonts w:ascii="Cambria" w:hAnsi="Cambria" w:cs="Cambria"/>
          <w:color w:val="000000"/>
          <w:sz w:val="20"/>
          <w:szCs w:val="20"/>
        </w:rPr>
      </w:pPr>
    </w:p>
    <w:p w:rsidR="002E3859" w:rsidRDefault="00302A10" w:rsidP="002E3859">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Mgr. Mária Bezáková – riaditeľka školy</w:t>
      </w:r>
      <w:r>
        <w:rPr>
          <w:rFonts w:ascii="Cambria" w:hAnsi="Cambria" w:cs="Cambria"/>
          <w:color w:val="000000"/>
          <w:sz w:val="20"/>
          <w:szCs w:val="20"/>
        </w:rPr>
        <w:tab/>
      </w:r>
      <w:r w:rsidR="002E3859">
        <w:rPr>
          <w:rFonts w:ascii="Cambria" w:hAnsi="Cambria" w:cs="Cambria"/>
          <w:color w:val="000000"/>
          <w:sz w:val="20"/>
          <w:szCs w:val="20"/>
        </w:rPr>
        <w:tab/>
        <w:t>Mgr. Dušan Vlnka – na základe plnej moci</w:t>
      </w:r>
    </w:p>
    <w:p w:rsidR="003E2F63" w:rsidRDefault="00302A10" w:rsidP="002E3859">
      <w:pPr>
        <w:autoSpaceDE w:val="0"/>
        <w:autoSpaceDN w:val="0"/>
        <w:adjustRightInd w:val="0"/>
        <w:jc w:val="both"/>
        <w:rPr>
          <w:rFonts w:ascii="Cambria" w:hAnsi="Cambria" w:cs="Cambria"/>
          <w:color w:val="000000"/>
          <w:sz w:val="20"/>
          <w:szCs w:val="20"/>
        </w:rPr>
        <w:sectPr w:rsidR="003E2F63" w:rsidSect="006D6905">
          <w:pgSz w:w="11906" w:h="16838"/>
          <w:pgMar w:top="1417" w:right="1417" w:bottom="1417" w:left="1417" w:header="708" w:footer="708" w:gutter="0"/>
          <w:cols w:space="708"/>
          <w:titlePg/>
          <w:docGrid w:linePitch="360"/>
        </w:sectPr>
      </w:pPr>
      <w:r>
        <w:rPr>
          <w:rFonts w:ascii="Cambria" w:hAnsi="Cambria" w:cs="Cambria"/>
          <w:color w:val="000000"/>
          <w:sz w:val="20"/>
          <w:szCs w:val="20"/>
        </w:rPr>
        <w:t>Základná škola Škultétyho</w:t>
      </w:r>
      <w:r w:rsidR="002E3859">
        <w:rPr>
          <w:rFonts w:ascii="Cambria" w:hAnsi="Cambria" w:cs="Cambria"/>
          <w:color w:val="000000"/>
          <w:sz w:val="20"/>
          <w:szCs w:val="20"/>
        </w:rPr>
        <w:tab/>
      </w:r>
      <w:r w:rsidR="002E3859">
        <w:rPr>
          <w:rFonts w:ascii="Cambria" w:hAnsi="Cambria" w:cs="Cambria"/>
          <w:color w:val="000000"/>
          <w:sz w:val="20"/>
          <w:szCs w:val="20"/>
        </w:rPr>
        <w:tab/>
      </w:r>
      <w:r w:rsidR="002E3859">
        <w:rPr>
          <w:rFonts w:ascii="Cambria" w:hAnsi="Cambria" w:cs="Cambria"/>
          <w:color w:val="000000"/>
          <w:sz w:val="20"/>
          <w:szCs w:val="20"/>
        </w:rPr>
        <w:tab/>
        <w:t>Energie2, a.s.</w:t>
      </w:r>
      <w:r w:rsidR="002E3859">
        <w:rPr>
          <w:rFonts w:ascii="Cambria" w:hAnsi="Cambria" w:cs="Cambria"/>
          <w:color w:val="000000"/>
          <w:sz w:val="20"/>
          <w:szCs w:val="20"/>
        </w:rPr>
        <w:tab/>
      </w:r>
    </w:p>
    <w:tbl>
      <w:tblPr>
        <w:tblW w:w="14068" w:type="dxa"/>
        <w:tblInd w:w="55" w:type="dxa"/>
        <w:tblCellMar>
          <w:left w:w="70" w:type="dxa"/>
          <w:right w:w="70" w:type="dxa"/>
        </w:tblCellMar>
        <w:tblLook w:val="04A0" w:firstRow="1" w:lastRow="0" w:firstColumn="1" w:lastColumn="0" w:noHBand="0" w:noVBand="1"/>
      </w:tblPr>
      <w:tblGrid>
        <w:gridCol w:w="2120"/>
        <w:gridCol w:w="2120"/>
        <w:gridCol w:w="1420"/>
        <w:gridCol w:w="1820"/>
        <w:gridCol w:w="1200"/>
        <w:gridCol w:w="1461"/>
        <w:gridCol w:w="2207"/>
        <w:gridCol w:w="1720"/>
      </w:tblGrid>
      <w:tr w:rsidR="003E2F63" w:rsidRPr="00354D81" w:rsidTr="003E2F63">
        <w:trPr>
          <w:trHeight w:val="300"/>
        </w:trPr>
        <w:tc>
          <w:tcPr>
            <w:tcW w:w="12348" w:type="dxa"/>
            <w:gridSpan w:val="7"/>
            <w:tcBorders>
              <w:top w:val="nil"/>
              <w:left w:val="nil"/>
              <w:bottom w:val="nil"/>
              <w:right w:val="nil"/>
            </w:tcBorders>
            <w:shd w:val="clear" w:color="auto" w:fill="auto"/>
            <w:noWrap/>
            <w:vAlign w:val="bottom"/>
            <w:hideMark/>
          </w:tcPr>
          <w:p w:rsidR="003E2F63" w:rsidRPr="00354D81" w:rsidRDefault="003E2F63" w:rsidP="00933791">
            <w:pPr>
              <w:ind w:right="-1651"/>
              <w:rPr>
                <w:rFonts w:asciiTheme="majorHAnsi" w:hAnsiTheme="majorHAnsi" w:cs="Helvetica"/>
                <w:bCs/>
                <w:color w:val="000000"/>
                <w:sz w:val="20"/>
                <w:szCs w:val="20"/>
              </w:rPr>
            </w:pPr>
            <w:r w:rsidRPr="00354D81">
              <w:rPr>
                <w:rFonts w:asciiTheme="majorHAnsi" w:hAnsiTheme="majorHAnsi" w:cs="Helvetica"/>
                <w:bCs/>
                <w:color w:val="000000"/>
                <w:sz w:val="20"/>
                <w:szCs w:val="20"/>
              </w:rPr>
              <w:lastRenderedPageBreak/>
              <w:t xml:space="preserve">Príloha č. 1 -  Miesta dodania - odberné miesta (OM) k ZMLUVE O ZDRUŽENEJ DODÁVKE ELEKTRINY, </w:t>
            </w:r>
          </w:p>
          <w:p w:rsidR="003E2F63" w:rsidRPr="00354D81" w:rsidRDefault="003E2F63" w:rsidP="00933791">
            <w:pPr>
              <w:ind w:right="-1651"/>
              <w:rPr>
                <w:rFonts w:asciiTheme="majorHAnsi" w:hAnsiTheme="majorHAnsi" w:cs="Helvetica"/>
                <w:b/>
                <w:bCs/>
                <w:color w:val="000000"/>
                <w:sz w:val="20"/>
                <w:szCs w:val="20"/>
              </w:rPr>
            </w:pPr>
            <w:r w:rsidRPr="00354D81">
              <w:rPr>
                <w:rFonts w:asciiTheme="majorHAnsi" w:hAnsiTheme="majorHAnsi" w:cs="Helvetica"/>
                <w:bCs/>
                <w:color w:val="000000"/>
                <w:sz w:val="20"/>
                <w:szCs w:val="20"/>
              </w:rPr>
              <w:t xml:space="preserve">DISTRIBÚCIE ELEKTRINY A PREVZATIA ZODPOVEDNOSTI ZA ODCHÝLKU č. </w:t>
            </w:r>
            <w:r w:rsidR="00933791" w:rsidRPr="00933791">
              <w:rPr>
                <w:rFonts w:ascii="Cambria" w:hAnsi="Cambria" w:cs="Cambria"/>
                <w:bCs/>
                <w:color w:val="000000"/>
                <w:sz w:val="20"/>
                <w:szCs w:val="20"/>
              </w:rPr>
              <w:t>1111405</w:t>
            </w:r>
          </w:p>
        </w:tc>
        <w:tc>
          <w:tcPr>
            <w:tcW w:w="17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r>
      <w:tr w:rsidR="003E2F63" w:rsidRPr="00354D81" w:rsidTr="003E2F63">
        <w:trPr>
          <w:trHeight w:val="315"/>
        </w:trPr>
        <w:tc>
          <w:tcPr>
            <w:tcW w:w="21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c>
          <w:tcPr>
            <w:tcW w:w="21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c>
          <w:tcPr>
            <w:tcW w:w="14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c>
          <w:tcPr>
            <w:tcW w:w="18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c>
          <w:tcPr>
            <w:tcW w:w="120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c>
          <w:tcPr>
            <w:tcW w:w="1461"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c>
          <w:tcPr>
            <w:tcW w:w="2207"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c>
          <w:tcPr>
            <w:tcW w:w="17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s="Helvetica"/>
                <w:color w:val="000000"/>
                <w:sz w:val="20"/>
                <w:szCs w:val="20"/>
              </w:rPr>
            </w:pPr>
          </w:p>
        </w:tc>
      </w:tr>
      <w:tr w:rsidR="003E2F63" w:rsidRPr="00354D81" w:rsidTr="003E2F63">
        <w:trPr>
          <w:trHeight w:val="300"/>
        </w:trPr>
        <w:tc>
          <w:tcPr>
            <w:tcW w:w="2120" w:type="dxa"/>
            <w:vMerge w:val="restart"/>
            <w:tcBorders>
              <w:top w:val="single" w:sz="8" w:space="0" w:color="auto"/>
              <w:left w:val="single" w:sz="8" w:space="0" w:color="auto"/>
              <w:bottom w:val="nil"/>
              <w:right w:val="nil"/>
            </w:tcBorders>
            <w:shd w:val="clear" w:color="auto" w:fill="auto"/>
            <w:vAlign w:val="center"/>
            <w:hideMark/>
          </w:tcPr>
          <w:p w:rsidR="003E2F63" w:rsidRPr="00354D81" w:rsidRDefault="003E2F63" w:rsidP="00933791">
            <w:pPr>
              <w:jc w:val="center"/>
              <w:rPr>
                <w:rFonts w:asciiTheme="majorHAnsi" w:hAnsiTheme="majorHAnsi" w:cs="Helvetica"/>
                <w:b/>
                <w:bCs/>
                <w:color w:val="000000"/>
                <w:sz w:val="20"/>
                <w:szCs w:val="20"/>
              </w:rPr>
            </w:pPr>
            <w:r w:rsidRPr="00354D81">
              <w:rPr>
                <w:rFonts w:asciiTheme="majorHAnsi" w:hAnsiTheme="majorHAnsi" w:cs="Helvetica"/>
                <w:b/>
                <w:bCs/>
                <w:color w:val="000000"/>
                <w:sz w:val="20"/>
                <w:szCs w:val="20"/>
              </w:rPr>
              <w:t>EIC kód OM</w:t>
            </w:r>
          </w:p>
        </w:tc>
        <w:tc>
          <w:tcPr>
            <w:tcW w:w="2120" w:type="dxa"/>
            <w:vMerge w:val="restart"/>
            <w:tcBorders>
              <w:top w:val="single" w:sz="8" w:space="0" w:color="auto"/>
              <w:left w:val="single" w:sz="4" w:space="0" w:color="auto"/>
              <w:bottom w:val="nil"/>
              <w:right w:val="nil"/>
            </w:tcBorders>
            <w:shd w:val="clear" w:color="auto" w:fill="auto"/>
            <w:vAlign w:val="center"/>
            <w:hideMark/>
          </w:tcPr>
          <w:p w:rsidR="003E2F63" w:rsidRPr="00354D81" w:rsidRDefault="003E2F63" w:rsidP="00933791">
            <w:pPr>
              <w:jc w:val="center"/>
              <w:rPr>
                <w:rFonts w:asciiTheme="majorHAnsi" w:hAnsiTheme="majorHAnsi" w:cs="Helvetica"/>
                <w:b/>
                <w:bCs/>
                <w:color w:val="000000"/>
                <w:sz w:val="20"/>
                <w:szCs w:val="20"/>
              </w:rPr>
            </w:pPr>
            <w:r w:rsidRPr="00354D81">
              <w:rPr>
                <w:rFonts w:asciiTheme="majorHAnsi" w:hAnsiTheme="majorHAnsi" w:cs="Helvetica"/>
                <w:b/>
                <w:bCs/>
                <w:color w:val="000000"/>
                <w:sz w:val="20"/>
                <w:szCs w:val="20"/>
              </w:rPr>
              <w:t>Adresa OM</w:t>
            </w:r>
          </w:p>
        </w:tc>
        <w:tc>
          <w:tcPr>
            <w:tcW w:w="1420" w:type="dxa"/>
            <w:vMerge w:val="restart"/>
            <w:tcBorders>
              <w:top w:val="single" w:sz="8" w:space="0" w:color="auto"/>
              <w:left w:val="single" w:sz="4" w:space="0" w:color="auto"/>
              <w:bottom w:val="nil"/>
              <w:right w:val="nil"/>
            </w:tcBorders>
            <w:shd w:val="clear" w:color="auto" w:fill="auto"/>
            <w:vAlign w:val="center"/>
            <w:hideMark/>
          </w:tcPr>
          <w:p w:rsidR="003E2F63" w:rsidRPr="00354D81" w:rsidRDefault="003E2F63" w:rsidP="00933791">
            <w:pPr>
              <w:jc w:val="center"/>
              <w:rPr>
                <w:rFonts w:asciiTheme="majorHAnsi" w:hAnsiTheme="majorHAnsi" w:cs="Helvetica"/>
                <w:b/>
                <w:bCs/>
                <w:color w:val="000000"/>
                <w:sz w:val="20"/>
                <w:szCs w:val="20"/>
              </w:rPr>
            </w:pPr>
            <w:r w:rsidRPr="00354D81">
              <w:rPr>
                <w:rFonts w:asciiTheme="majorHAnsi" w:hAnsiTheme="majorHAnsi" w:cs="Helvetica"/>
                <w:b/>
                <w:bCs/>
                <w:color w:val="000000"/>
                <w:sz w:val="20"/>
                <w:szCs w:val="20"/>
              </w:rPr>
              <w:t xml:space="preserve">PSČ </w:t>
            </w:r>
          </w:p>
        </w:tc>
        <w:tc>
          <w:tcPr>
            <w:tcW w:w="1820" w:type="dxa"/>
            <w:vMerge w:val="restart"/>
            <w:tcBorders>
              <w:top w:val="single" w:sz="8" w:space="0" w:color="auto"/>
              <w:left w:val="single" w:sz="4" w:space="0" w:color="auto"/>
              <w:bottom w:val="nil"/>
              <w:right w:val="nil"/>
            </w:tcBorders>
            <w:shd w:val="clear" w:color="auto" w:fill="auto"/>
            <w:vAlign w:val="center"/>
            <w:hideMark/>
          </w:tcPr>
          <w:p w:rsidR="003E2F63" w:rsidRPr="00354D81" w:rsidRDefault="003E2F63" w:rsidP="00933791">
            <w:pPr>
              <w:jc w:val="center"/>
              <w:rPr>
                <w:rFonts w:asciiTheme="majorHAnsi" w:hAnsiTheme="majorHAnsi" w:cs="Helvetica"/>
                <w:b/>
                <w:bCs/>
                <w:color w:val="000000"/>
                <w:sz w:val="20"/>
                <w:szCs w:val="20"/>
              </w:rPr>
            </w:pPr>
            <w:r w:rsidRPr="00354D81">
              <w:rPr>
                <w:rFonts w:asciiTheme="majorHAnsi" w:hAnsiTheme="majorHAnsi" w:cs="Helvetica"/>
                <w:b/>
                <w:bCs/>
                <w:color w:val="000000"/>
                <w:sz w:val="20"/>
                <w:szCs w:val="20"/>
              </w:rPr>
              <w:t>Mesto OM</w:t>
            </w:r>
          </w:p>
        </w:tc>
        <w:tc>
          <w:tcPr>
            <w:tcW w:w="1200" w:type="dxa"/>
            <w:vMerge w:val="restart"/>
            <w:tcBorders>
              <w:top w:val="single" w:sz="8" w:space="0" w:color="auto"/>
              <w:left w:val="single" w:sz="4" w:space="0" w:color="auto"/>
              <w:bottom w:val="nil"/>
              <w:right w:val="nil"/>
            </w:tcBorders>
            <w:shd w:val="clear" w:color="auto" w:fill="auto"/>
            <w:vAlign w:val="center"/>
            <w:hideMark/>
          </w:tcPr>
          <w:p w:rsidR="003E2F63" w:rsidRPr="00354D81" w:rsidRDefault="003E2F63" w:rsidP="00933791">
            <w:pPr>
              <w:jc w:val="center"/>
              <w:rPr>
                <w:rFonts w:asciiTheme="majorHAnsi" w:hAnsiTheme="majorHAnsi" w:cs="Helvetica"/>
                <w:b/>
                <w:bCs/>
                <w:color w:val="000000"/>
                <w:sz w:val="20"/>
                <w:szCs w:val="20"/>
              </w:rPr>
            </w:pPr>
            <w:r w:rsidRPr="00354D81">
              <w:rPr>
                <w:rFonts w:asciiTheme="majorHAnsi" w:hAnsiTheme="majorHAnsi" w:cs="Helvetica"/>
                <w:b/>
                <w:bCs/>
                <w:color w:val="000000"/>
                <w:sz w:val="20"/>
                <w:szCs w:val="20"/>
              </w:rPr>
              <w:t xml:space="preserve">Hodnota ističa </w:t>
            </w:r>
          </w:p>
        </w:tc>
        <w:tc>
          <w:tcPr>
            <w:tcW w:w="1461" w:type="dxa"/>
            <w:vMerge w:val="restart"/>
            <w:tcBorders>
              <w:top w:val="single" w:sz="8" w:space="0" w:color="auto"/>
              <w:left w:val="single" w:sz="4" w:space="0" w:color="auto"/>
              <w:bottom w:val="nil"/>
              <w:right w:val="nil"/>
            </w:tcBorders>
            <w:shd w:val="clear" w:color="auto" w:fill="auto"/>
            <w:vAlign w:val="center"/>
            <w:hideMark/>
          </w:tcPr>
          <w:p w:rsidR="003E2F63" w:rsidRPr="00354D81" w:rsidRDefault="003E2F63" w:rsidP="00933791">
            <w:pPr>
              <w:jc w:val="center"/>
              <w:rPr>
                <w:rFonts w:asciiTheme="majorHAnsi" w:hAnsiTheme="majorHAnsi" w:cs="Helvetica"/>
                <w:b/>
                <w:bCs/>
                <w:color w:val="000000"/>
                <w:sz w:val="20"/>
                <w:szCs w:val="20"/>
              </w:rPr>
            </w:pPr>
            <w:r w:rsidRPr="00354D81">
              <w:rPr>
                <w:rFonts w:asciiTheme="majorHAnsi" w:hAnsiTheme="majorHAnsi" w:cs="Helvetica"/>
                <w:b/>
                <w:bCs/>
                <w:color w:val="000000"/>
                <w:sz w:val="20"/>
                <w:szCs w:val="20"/>
              </w:rPr>
              <w:t>Distribučná sadzba</w:t>
            </w:r>
          </w:p>
        </w:tc>
        <w:tc>
          <w:tcPr>
            <w:tcW w:w="2207" w:type="dxa"/>
            <w:vMerge w:val="restart"/>
            <w:tcBorders>
              <w:top w:val="single" w:sz="8" w:space="0" w:color="auto"/>
              <w:left w:val="single" w:sz="4" w:space="0" w:color="auto"/>
              <w:bottom w:val="nil"/>
              <w:right w:val="nil"/>
            </w:tcBorders>
            <w:shd w:val="clear" w:color="auto" w:fill="auto"/>
            <w:vAlign w:val="center"/>
            <w:hideMark/>
          </w:tcPr>
          <w:p w:rsidR="003E2F63" w:rsidRPr="00354D81" w:rsidRDefault="003E2F63" w:rsidP="00933791">
            <w:pPr>
              <w:jc w:val="center"/>
              <w:rPr>
                <w:rFonts w:asciiTheme="majorHAnsi" w:hAnsiTheme="majorHAnsi" w:cs="Helvetica"/>
                <w:b/>
                <w:bCs/>
                <w:color w:val="000000"/>
                <w:sz w:val="20"/>
                <w:szCs w:val="20"/>
              </w:rPr>
            </w:pPr>
            <w:r w:rsidRPr="00354D81">
              <w:rPr>
                <w:rFonts w:asciiTheme="majorHAnsi" w:hAnsiTheme="majorHAnsi" w:cs="Helvetica"/>
                <w:b/>
                <w:bCs/>
                <w:color w:val="000000"/>
                <w:sz w:val="20"/>
                <w:szCs w:val="20"/>
              </w:rPr>
              <w:t>Zmluvne dohodnuté ročné množstvo (</w:t>
            </w:r>
            <w:proofErr w:type="spellStart"/>
            <w:r w:rsidRPr="00354D81">
              <w:rPr>
                <w:rFonts w:asciiTheme="majorHAnsi" w:hAnsiTheme="majorHAnsi" w:cs="Helvetica"/>
                <w:b/>
                <w:bCs/>
                <w:color w:val="000000"/>
                <w:sz w:val="20"/>
                <w:szCs w:val="20"/>
              </w:rPr>
              <w:t>kWh</w:t>
            </w:r>
            <w:proofErr w:type="spellEnd"/>
            <w:r w:rsidRPr="00354D81">
              <w:rPr>
                <w:rFonts w:asciiTheme="majorHAnsi" w:hAnsiTheme="majorHAnsi" w:cs="Helvetica"/>
                <w:b/>
                <w:bCs/>
                <w:color w:val="000000"/>
                <w:sz w:val="20"/>
                <w:szCs w:val="20"/>
              </w:rPr>
              <w:t>)</w:t>
            </w:r>
          </w:p>
        </w:tc>
        <w:tc>
          <w:tcPr>
            <w:tcW w:w="1720" w:type="dxa"/>
            <w:vMerge w:val="restart"/>
            <w:tcBorders>
              <w:top w:val="single" w:sz="8" w:space="0" w:color="auto"/>
              <w:left w:val="single" w:sz="4" w:space="0" w:color="auto"/>
              <w:bottom w:val="nil"/>
              <w:right w:val="single" w:sz="8" w:space="0" w:color="auto"/>
            </w:tcBorders>
            <w:shd w:val="clear" w:color="auto" w:fill="auto"/>
            <w:vAlign w:val="center"/>
            <w:hideMark/>
          </w:tcPr>
          <w:p w:rsidR="003E2F63" w:rsidRPr="00354D81" w:rsidRDefault="003E2F63" w:rsidP="00933791">
            <w:pPr>
              <w:jc w:val="center"/>
              <w:rPr>
                <w:rFonts w:asciiTheme="majorHAnsi" w:hAnsiTheme="majorHAnsi" w:cs="Helvetica"/>
                <w:b/>
                <w:bCs/>
                <w:color w:val="000000"/>
                <w:sz w:val="20"/>
                <w:szCs w:val="20"/>
              </w:rPr>
            </w:pPr>
            <w:r w:rsidRPr="00354D81">
              <w:rPr>
                <w:rFonts w:asciiTheme="majorHAnsi" w:hAnsiTheme="majorHAnsi" w:cs="Helvetica"/>
                <w:b/>
                <w:bCs/>
                <w:color w:val="000000"/>
                <w:sz w:val="20"/>
                <w:szCs w:val="20"/>
              </w:rPr>
              <w:t>Produkt</w:t>
            </w:r>
          </w:p>
        </w:tc>
      </w:tr>
      <w:tr w:rsidR="003E2F63" w:rsidRPr="00354D81" w:rsidTr="003E2F63">
        <w:trPr>
          <w:trHeight w:val="555"/>
        </w:trPr>
        <w:tc>
          <w:tcPr>
            <w:tcW w:w="2120" w:type="dxa"/>
            <w:vMerge/>
            <w:tcBorders>
              <w:top w:val="single" w:sz="8" w:space="0" w:color="auto"/>
              <w:left w:val="single" w:sz="8" w:space="0" w:color="auto"/>
              <w:bottom w:val="nil"/>
              <w:right w:val="nil"/>
            </w:tcBorders>
            <w:vAlign w:val="center"/>
            <w:hideMark/>
          </w:tcPr>
          <w:p w:rsidR="003E2F63" w:rsidRPr="00354D81" w:rsidRDefault="003E2F63" w:rsidP="00933791">
            <w:pPr>
              <w:rPr>
                <w:rFonts w:asciiTheme="majorHAnsi" w:hAnsiTheme="majorHAnsi" w:cs="Helvetica"/>
                <w:b/>
                <w:bCs/>
                <w:color w:val="000000"/>
                <w:sz w:val="20"/>
                <w:szCs w:val="20"/>
              </w:rPr>
            </w:pPr>
          </w:p>
        </w:tc>
        <w:tc>
          <w:tcPr>
            <w:tcW w:w="2120" w:type="dxa"/>
            <w:vMerge/>
            <w:tcBorders>
              <w:top w:val="single" w:sz="8" w:space="0" w:color="auto"/>
              <w:left w:val="single" w:sz="4" w:space="0" w:color="auto"/>
              <w:bottom w:val="nil"/>
              <w:right w:val="nil"/>
            </w:tcBorders>
            <w:vAlign w:val="center"/>
            <w:hideMark/>
          </w:tcPr>
          <w:p w:rsidR="003E2F63" w:rsidRPr="00354D81" w:rsidRDefault="003E2F63" w:rsidP="00933791">
            <w:pPr>
              <w:rPr>
                <w:rFonts w:asciiTheme="majorHAnsi" w:hAnsiTheme="majorHAnsi" w:cs="Helvetica"/>
                <w:b/>
                <w:bCs/>
                <w:color w:val="000000"/>
                <w:sz w:val="20"/>
                <w:szCs w:val="20"/>
              </w:rPr>
            </w:pPr>
          </w:p>
        </w:tc>
        <w:tc>
          <w:tcPr>
            <w:tcW w:w="1420" w:type="dxa"/>
            <w:vMerge/>
            <w:tcBorders>
              <w:top w:val="single" w:sz="8" w:space="0" w:color="auto"/>
              <w:left w:val="single" w:sz="4" w:space="0" w:color="auto"/>
              <w:bottom w:val="nil"/>
              <w:right w:val="nil"/>
            </w:tcBorders>
            <w:vAlign w:val="center"/>
            <w:hideMark/>
          </w:tcPr>
          <w:p w:rsidR="003E2F63" w:rsidRPr="00354D81" w:rsidRDefault="003E2F63" w:rsidP="00933791">
            <w:pPr>
              <w:rPr>
                <w:rFonts w:asciiTheme="majorHAnsi" w:hAnsiTheme="majorHAnsi" w:cs="Helvetica"/>
                <w:b/>
                <w:bCs/>
                <w:color w:val="000000"/>
                <w:sz w:val="20"/>
                <w:szCs w:val="20"/>
              </w:rPr>
            </w:pPr>
          </w:p>
        </w:tc>
        <w:tc>
          <w:tcPr>
            <w:tcW w:w="1820" w:type="dxa"/>
            <w:vMerge/>
            <w:tcBorders>
              <w:top w:val="single" w:sz="8" w:space="0" w:color="auto"/>
              <w:left w:val="single" w:sz="4" w:space="0" w:color="auto"/>
              <w:bottom w:val="nil"/>
              <w:right w:val="nil"/>
            </w:tcBorders>
            <w:vAlign w:val="center"/>
            <w:hideMark/>
          </w:tcPr>
          <w:p w:rsidR="003E2F63" w:rsidRPr="00354D81" w:rsidRDefault="003E2F63" w:rsidP="00933791">
            <w:pPr>
              <w:rPr>
                <w:rFonts w:asciiTheme="majorHAnsi" w:hAnsiTheme="majorHAnsi" w:cs="Helvetica"/>
                <w:b/>
                <w:bCs/>
                <w:color w:val="000000"/>
                <w:sz w:val="20"/>
                <w:szCs w:val="20"/>
              </w:rPr>
            </w:pPr>
          </w:p>
        </w:tc>
        <w:tc>
          <w:tcPr>
            <w:tcW w:w="1200" w:type="dxa"/>
            <w:vMerge/>
            <w:tcBorders>
              <w:top w:val="single" w:sz="8" w:space="0" w:color="auto"/>
              <w:left w:val="single" w:sz="4" w:space="0" w:color="auto"/>
              <w:bottom w:val="nil"/>
              <w:right w:val="nil"/>
            </w:tcBorders>
            <w:vAlign w:val="center"/>
            <w:hideMark/>
          </w:tcPr>
          <w:p w:rsidR="003E2F63" w:rsidRPr="00354D81" w:rsidRDefault="003E2F63" w:rsidP="00933791">
            <w:pPr>
              <w:rPr>
                <w:rFonts w:asciiTheme="majorHAnsi" w:hAnsiTheme="majorHAnsi" w:cs="Helvetica"/>
                <w:b/>
                <w:bCs/>
                <w:color w:val="000000"/>
                <w:sz w:val="20"/>
                <w:szCs w:val="20"/>
              </w:rPr>
            </w:pPr>
          </w:p>
        </w:tc>
        <w:tc>
          <w:tcPr>
            <w:tcW w:w="1461" w:type="dxa"/>
            <w:vMerge/>
            <w:tcBorders>
              <w:top w:val="single" w:sz="8" w:space="0" w:color="auto"/>
              <w:left w:val="single" w:sz="4" w:space="0" w:color="auto"/>
              <w:bottom w:val="nil"/>
              <w:right w:val="nil"/>
            </w:tcBorders>
            <w:vAlign w:val="center"/>
            <w:hideMark/>
          </w:tcPr>
          <w:p w:rsidR="003E2F63" w:rsidRPr="00354D81" w:rsidRDefault="003E2F63" w:rsidP="00933791">
            <w:pPr>
              <w:rPr>
                <w:rFonts w:asciiTheme="majorHAnsi" w:hAnsiTheme="majorHAnsi" w:cs="Helvetica"/>
                <w:b/>
                <w:bCs/>
                <w:color w:val="000000"/>
                <w:sz w:val="20"/>
                <w:szCs w:val="20"/>
              </w:rPr>
            </w:pPr>
          </w:p>
        </w:tc>
        <w:tc>
          <w:tcPr>
            <w:tcW w:w="2207" w:type="dxa"/>
            <w:vMerge/>
            <w:tcBorders>
              <w:top w:val="single" w:sz="8" w:space="0" w:color="auto"/>
              <w:left w:val="single" w:sz="4" w:space="0" w:color="auto"/>
              <w:bottom w:val="nil"/>
              <w:right w:val="nil"/>
            </w:tcBorders>
            <w:vAlign w:val="center"/>
            <w:hideMark/>
          </w:tcPr>
          <w:p w:rsidR="003E2F63" w:rsidRPr="00354D81" w:rsidRDefault="003E2F63" w:rsidP="00933791">
            <w:pPr>
              <w:rPr>
                <w:rFonts w:asciiTheme="majorHAnsi" w:hAnsiTheme="majorHAnsi" w:cs="Helvetica"/>
                <w:b/>
                <w:bCs/>
                <w:color w:val="000000"/>
                <w:sz w:val="20"/>
                <w:szCs w:val="20"/>
              </w:rPr>
            </w:pPr>
          </w:p>
        </w:tc>
        <w:tc>
          <w:tcPr>
            <w:tcW w:w="1720" w:type="dxa"/>
            <w:vMerge/>
            <w:tcBorders>
              <w:top w:val="single" w:sz="8" w:space="0" w:color="auto"/>
              <w:left w:val="single" w:sz="4" w:space="0" w:color="auto"/>
              <w:bottom w:val="nil"/>
              <w:right w:val="single" w:sz="8" w:space="0" w:color="auto"/>
            </w:tcBorders>
            <w:vAlign w:val="center"/>
            <w:hideMark/>
          </w:tcPr>
          <w:p w:rsidR="003E2F63" w:rsidRPr="00354D81" w:rsidRDefault="003E2F63" w:rsidP="00933791">
            <w:pPr>
              <w:rPr>
                <w:rFonts w:asciiTheme="majorHAnsi" w:hAnsiTheme="majorHAnsi" w:cs="Helvetica"/>
                <w:b/>
                <w:bCs/>
                <w:color w:val="000000"/>
                <w:sz w:val="20"/>
                <w:szCs w:val="20"/>
              </w:rPr>
            </w:pPr>
          </w:p>
        </w:tc>
      </w:tr>
      <w:tr w:rsidR="002114FF" w:rsidRPr="00354D81" w:rsidTr="00C82E46">
        <w:trPr>
          <w:trHeight w:val="357"/>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lang w:eastAsia="sk-SK"/>
              </w:rPr>
            </w:pPr>
            <w:r w:rsidRPr="002114FF">
              <w:rPr>
                <w:rFonts w:asciiTheme="minorHAnsi" w:hAnsiTheme="minorHAnsi" w:cs="Arial CE"/>
                <w:sz w:val="20"/>
                <w:szCs w:val="20"/>
              </w:rPr>
              <w:t>24ZZS4170909000U</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lang w:eastAsia="sk-SK"/>
              </w:rPr>
            </w:pPr>
            <w:r w:rsidRPr="002114FF">
              <w:rPr>
                <w:rFonts w:asciiTheme="minorHAnsi" w:hAnsiTheme="minorHAnsi" w:cs="Arial CE"/>
                <w:sz w:val="20"/>
                <w:szCs w:val="20"/>
              </w:rPr>
              <w:t>ŠKULTÉTYHO 11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114FF" w:rsidRPr="002114FF" w:rsidRDefault="002114FF" w:rsidP="002114FF">
            <w:pPr>
              <w:spacing w:before="120"/>
              <w:jc w:val="center"/>
              <w:rPr>
                <w:rFonts w:asciiTheme="minorHAnsi" w:hAnsiTheme="minorHAnsi"/>
                <w:color w:val="000000"/>
                <w:sz w:val="20"/>
                <w:szCs w:val="20"/>
              </w:rPr>
            </w:pPr>
            <w:r w:rsidRPr="002114FF">
              <w:rPr>
                <w:rFonts w:asciiTheme="minorHAnsi" w:hAnsiTheme="minorHAnsi"/>
                <w:color w:val="000000"/>
                <w:sz w:val="20"/>
                <w:szCs w:val="20"/>
              </w:rPr>
              <w:t>955 01</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lang w:eastAsia="sk-SK"/>
              </w:rPr>
            </w:pPr>
            <w:r w:rsidRPr="002114FF">
              <w:rPr>
                <w:rFonts w:asciiTheme="minorHAnsi" w:hAnsiTheme="minorHAnsi" w:cs="Arial CE"/>
                <w:sz w:val="20"/>
                <w:szCs w:val="20"/>
              </w:rPr>
              <w:t>TOPOĽČANY</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lang w:eastAsia="sk-SK"/>
              </w:rPr>
            </w:pPr>
            <w:r w:rsidRPr="002114FF">
              <w:rPr>
                <w:rFonts w:asciiTheme="minorHAnsi" w:hAnsiTheme="minorHAnsi" w:cs="Arial CE"/>
                <w:sz w:val="20"/>
                <w:szCs w:val="20"/>
              </w:rPr>
              <w:t>3x125</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rPr>
            </w:pPr>
            <w:r w:rsidRPr="002114FF">
              <w:rPr>
                <w:rFonts w:asciiTheme="minorHAnsi" w:hAnsiTheme="minorHAnsi" w:cs="Arial CE"/>
                <w:sz w:val="20"/>
                <w:szCs w:val="20"/>
              </w:rPr>
              <w:t>C2-X3</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lang w:eastAsia="sk-SK"/>
              </w:rPr>
            </w:pPr>
            <w:r w:rsidRPr="002114FF">
              <w:rPr>
                <w:rFonts w:asciiTheme="minorHAnsi" w:hAnsiTheme="minorHAnsi" w:cs="Arial CE"/>
                <w:sz w:val="20"/>
                <w:szCs w:val="20"/>
              </w:rPr>
              <w:t>31 435</w:t>
            </w:r>
          </w:p>
        </w:tc>
        <w:tc>
          <w:tcPr>
            <w:tcW w:w="1720" w:type="dxa"/>
            <w:tcBorders>
              <w:top w:val="single" w:sz="4" w:space="0" w:color="auto"/>
              <w:left w:val="nil"/>
              <w:bottom w:val="single" w:sz="4" w:space="0" w:color="auto"/>
              <w:right w:val="single" w:sz="8" w:space="0" w:color="auto"/>
            </w:tcBorders>
            <w:shd w:val="clear" w:color="auto" w:fill="auto"/>
            <w:noWrap/>
            <w:vAlign w:val="bottom"/>
            <w:hideMark/>
          </w:tcPr>
          <w:p w:rsidR="002114FF" w:rsidRPr="002114FF" w:rsidRDefault="002114FF" w:rsidP="002114FF">
            <w:pPr>
              <w:spacing w:before="120"/>
              <w:jc w:val="center"/>
              <w:rPr>
                <w:rFonts w:asciiTheme="minorHAnsi" w:hAnsiTheme="minorHAnsi"/>
                <w:color w:val="000000"/>
                <w:sz w:val="20"/>
                <w:szCs w:val="20"/>
              </w:rPr>
            </w:pPr>
            <w:proofErr w:type="spellStart"/>
            <w:r w:rsidRPr="002114FF">
              <w:rPr>
                <w:rFonts w:asciiTheme="minorHAnsi" w:hAnsiTheme="minorHAnsi"/>
                <w:color w:val="000000"/>
                <w:sz w:val="20"/>
                <w:szCs w:val="20"/>
              </w:rPr>
              <w:t>Jednotarif</w:t>
            </w:r>
            <w:proofErr w:type="spellEnd"/>
          </w:p>
        </w:tc>
      </w:tr>
      <w:tr w:rsidR="002114FF" w:rsidRPr="00354D81" w:rsidTr="00C82E46">
        <w:trPr>
          <w:trHeight w:val="357"/>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rPr>
            </w:pPr>
            <w:r w:rsidRPr="002114FF">
              <w:rPr>
                <w:rFonts w:asciiTheme="minorHAnsi" w:hAnsiTheme="minorHAnsi" w:cs="Arial CE"/>
                <w:sz w:val="20"/>
                <w:szCs w:val="20"/>
              </w:rPr>
              <w:t>24ZZS7016298000D</w:t>
            </w:r>
          </w:p>
        </w:tc>
        <w:tc>
          <w:tcPr>
            <w:tcW w:w="2120" w:type="dxa"/>
            <w:tcBorders>
              <w:top w:val="nil"/>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rPr>
            </w:pPr>
            <w:r w:rsidRPr="002114FF">
              <w:rPr>
                <w:rFonts w:asciiTheme="minorHAnsi" w:hAnsiTheme="minorHAnsi" w:cs="Arial CE"/>
                <w:sz w:val="20"/>
                <w:szCs w:val="20"/>
              </w:rPr>
              <w:t>ŠKULTÉTYHO 11</w:t>
            </w:r>
          </w:p>
        </w:tc>
        <w:tc>
          <w:tcPr>
            <w:tcW w:w="1420" w:type="dxa"/>
            <w:tcBorders>
              <w:top w:val="nil"/>
              <w:left w:val="nil"/>
              <w:bottom w:val="single" w:sz="4" w:space="0" w:color="auto"/>
              <w:right w:val="single" w:sz="4" w:space="0" w:color="auto"/>
            </w:tcBorders>
            <w:shd w:val="clear" w:color="auto" w:fill="auto"/>
            <w:noWrap/>
            <w:vAlign w:val="bottom"/>
            <w:hideMark/>
          </w:tcPr>
          <w:p w:rsidR="002114FF" w:rsidRPr="002114FF" w:rsidRDefault="002114FF" w:rsidP="002114FF">
            <w:pPr>
              <w:spacing w:before="120"/>
              <w:jc w:val="center"/>
              <w:rPr>
                <w:rFonts w:asciiTheme="minorHAnsi" w:hAnsiTheme="minorHAnsi"/>
                <w:color w:val="000000"/>
                <w:sz w:val="20"/>
                <w:szCs w:val="20"/>
              </w:rPr>
            </w:pPr>
            <w:r w:rsidRPr="002114FF">
              <w:rPr>
                <w:rFonts w:asciiTheme="minorHAnsi" w:hAnsiTheme="minorHAnsi"/>
                <w:color w:val="000000"/>
                <w:sz w:val="20"/>
                <w:szCs w:val="20"/>
              </w:rPr>
              <w:t>955 01</w:t>
            </w:r>
          </w:p>
        </w:tc>
        <w:tc>
          <w:tcPr>
            <w:tcW w:w="1820" w:type="dxa"/>
            <w:tcBorders>
              <w:top w:val="nil"/>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rPr>
            </w:pPr>
            <w:r w:rsidRPr="002114FF">
              <w:rPr>
                <w:rFonts w:asciiTheme="minorHAnsi" w:hAnsiTheme="minorHAnsi" w:cs="Arial CE"/>
                <w:sz w:val="20"/>
                <w:szCs w:val="20"/>
              </w:rPr>
              <w:t>TOPOĽČANY</w:t>
            </w:r>
          </w:p>
        </w:tc>
        <w:tc>
          <w:tcPr>
            <w:tcW w:w="1200" w:type="dxa"/>
            <w:tcBorders>
              <w:top w:val="nil"/>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rPr>
            </w:pPr>
            <w:r w:rsidRPr="002114FF">
              <w:rPr>
                <w:rFonts w:asciiTheme="minorHAnsi" w:hAnsiTheme="minorHAnsi" w:cs="Arial CE"/>
                <w:sz w:val="20"/>
                <w:szCs w:val="20"/>
              </w:rPr>
              <w:t>3x80</w:t>
            </w:r>
          </w:p>
        </w:tc>
        <w:tc>
          <w:tcPr>
            <w:tcW w:w="1461" w:type="dxa"/>
            <w:tcBorders>
              <w:top w:val="nil"/>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rPr>
            </w:pPr>
            <w:r w:rsidRPr="002114FF">
              <w:rPr>
                <w:rFonts w:asciiTheme="minorHAnsi" w:hAnsiTheme="minorHAnsi" w:cs="Arial CE"/>
                <w:sz w:val="20"/>
                <w:szCs w:val="20"/>
              </w:rPr>
              <w:t>C2-X3</w:t>
            </w:r>
          </w:p>
        </w:tc>
        <w:tc>
          <w:tcPr>
            <w:tcW w:w="2207" w:type="dxa"/>
            <w:tcBorders>
              <w:top w:val="nil"/>
              <w:left w:val="nil"/>
              <w:bottom w:val="single" w:sz="4" w:space="0" w:color="auto"/>
              <w:right w:val="single" w:sz="4" w:space="0" w:color="auto"/>
            </w:tcBorders>
            <w:shd w:val="clear" w:color="auto" w:fill="auto"/>
            <w:noWrap/>
            <w:vAlign w:val="center"/>
            <w:hideMark/>
          </w:tcPr>
          <w:p w:rsidR="002114FF" w:rsidRPr="002114FF" w:rsidRDefault="002114FF" w:rsidP="002114FF">
            <w:pPr>
              <w:spacing w:before="120"/>
              <w:jc w:val="center"/>
              <w:rPr>
                <w:rFonts w:asciiTheme="minorHAnsi" w:hAnsiTheme="minorHAnsi" w:cs="Arial CE"/>
                <w:sz w:val="20"/>
                <w:szCs w:val="20"/>
              </w:rPr>
            </w:pPr>
            <w:r w:rsidRPr="002114FF">
              <w:rPr>
                <w:rFonts w:asciiTheme="minorHAnsi" w:hAnsiTheme="minorHAnsi" w:cs="Arial CE"/>
                <w:sz w:val="20"/>
                <w:szCs w:val="20"/>
              </w:rPr>
              <w:t>47 065</w:t>
            </w:r>
          </w:p>
        </w:tc>
        <w:tc>
          <w:tcPr>
            <w:tcW w:w="1720" w:type="dxa"/>
            <w:tcBorders>
              <w:top w:val="nil"/>
              <w:left w:val="nil"/>
              <w:bottom w:val="single" w:sz="4" w:space="0" w:color="auto"/>
              <w:right w:val="single" w:sz="8" w:space="0" w:color="auto"/>
            </w:tcBorders>
            <w:shd w:val="clear" w:color="auto" w:fill="auto"/>
            <w:noWrap/>
            <w:vAlign w:val="bottom"/>
            <w:hideMark/>
          </w:tcPr>
          <w:p w:rsidR="002114FF" w:rsidRPr="002114FF" w:rsidRDefault="002114FF" w:rsidP="002114FF">
            <w:pPr>
              <w:spacing w:before="120"/>
              <w:jc w:val="center"/>
              <w:rPr>
                <w:rFonts w:asciiTheme="minorHAnsi" w:hAnsiTheme="minorHAnsi"/>
                <w:color w:val="000000"/>
                <w:sz w:val="20"/>
                <w:szCs w:val="20"/>
              </w:rPr>
            </w:pPr>
            <w:proofErr w:type="spellStart"/>
            <w:r w:rsidRPr="002114FF">
              <w:rPr>
                <w:rFonts w:asciiTheme="minorHAnsi" w:hAnsiTheme="minorHAnsi"/>
                <w:color w:val="000000"/>
                <w:sz w:val="20"/>
                <w:szCs w:val="20"/>
              </w:rPr>
              <w:t>Jednotarif</w:t>
            </w:r>
            <w:proofErr w:type="spellEnd"/>
          </w:p>
        </w:tc>
      </w:tr>
      <w:tr w:rsidR="003E2F63" w:rsidRPr="00354D81" w:rsidTr="003E2F63">
        <w:trPr>
          <w:trHeight w:val="357"/>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57"/>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57"/>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57"/>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3E2F63" w:rsidRPr="00354D81" w:rsidRDefault="003E2F63" w:rsidP="00933791">
            <w:pP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315"/>
        </w:trPr>
        <w:tc>
          <w:tcPr>
            <w:tcW w:w="2120" w:type="dxa"/>
            <w:tcBorders>
              <w:top w:val="nil"/>
              <w:left w:val="single" w:sz="8" w:space="0" w:color="auto"/>
              <w:bottom w:val="single" w:sz="8" w:space="0" w:color="auto"/>
              <w:right w:val="single" w:sz="4" w:space="0" w:color="auto"/>
            </w:tcBorders>
            <w:shd w:val="clear" w:color="auto" w:fill="auto"/>
            <w:noWrap/>
            <w:vAlign w:val="bottom"/>
            <w:hideMark/>
          </w:tcPr>
          <w:p w:rsidR="003E2F63" w:rsidRPr="00354D81" w:rsidRDefault="003E2F63" w:rsidP="00933791">
            <w:pPr>
              <w:jc w:val="center"/>
              <w:rPr>
                <w:rFonts w:asciiTheme="majorHAnsi" w:hAnsiTheme="majorHAnsi"/>
                <w:color w:val="000000"/>
                <w:sz w:val="20"/>
                <w:szCs w:val="20"/>
              </w:rPr>
            </w:pPr>
            <w:r w:rsidRPr="00354D81">
              <w:rPr>
                <w:rFonts w:asciiTheme="majorHAnsi" w:hAnsiTheme="majorHAnsi"/>
                <w:color w:val="000000"/>
                <w:sz w:val="20"/>
                <w:szCs w:val="20"/>
              </w:rPr>
              <w:t> </w:t>
            </w:r>
          </w:p>
        </w:tc>
        <w:tc>
          <w:tcPr>
            <w:tcW w:w="2120" w:type="dxa"/>
            <w:tcBorders>
              <w:top w:val="nil"/>
              <w:left w:val="nil"/>
              <w:bottom w:val="single" w:sz="8" w:space="0" w:color="auto"/>
              <w:right w:val="single" w:sz="4" w:space="0" w:color="auto"/>
            </w:tcBorders>
            <w:shd w:val="clear" w:color="auto" w:fill="auto"/>
            <w:noWrap/>
            <w:vAlign w:val="bottom"/>
            <w:hideMark/>
          </w:tcPr>
          <w:p w:rsidR="003E2F63" w:rsidRPr="00354D81" w:rsidRDefault="003E2F63" w:rsidP="00933791">
            <w:pPr>
              <w:jc w:val="center"/>
              <w:rPr>
                <w:rFonts w:asciiTheme="majorHAnsi" w:hAnsiTheme="majorHAnsi"/>
                <w:color w:val="000000"/>
                <w:sz w:val="20"/>
                <w:szCs w:val="20"/>
              </w:rPr>
            </w:pPr>
            <w:r w:rsidRPr="00354D81">
              <w:rPr>
                <w:rFonts w:asciiTheme="majorHAnsi" w:hAnsiTheme="majorHAnsi"/>
                <w:color w:val="000000"/>
                <w:sz w:val="20"/>
                <w:szCs w:val="20"/>
              </w:rPr>
              <w:t> </w:t>
            </w:r>
          </w:p>
        </w:tc>
        <w:tc>
          <w:tcPr>
            <w:tcW w:w="1420" w:type="dxa"/>
            <w:tcBorders>
              <w:top w:val="nil"/>
              <w:left w:val="nil"/>
              <w:bottom w:val="single" w:sz="8" w:space="0" w:color="auto"/>
              <w:right w:val="single" w:sz="4" w:space="0" w:color="auto"/>
            </w:tcBorders>
            <w:shd w:val="clear" w:color="auto" w:fill="auto"/>
            <w:noWrap/>
            <w:vAlign w:val="bottom"/>
            <w:hideMark/>
          </w:tcPr>
          <w:p w:rsidR="003E2F63" w:rsidRPr="00354D81" w:rsidRDefault="003E2F63" w:rsidP="00933791">
            <w:pPr>
              <w:jc w:val="center"/>
              <w:rPr>
                <w:rFonts w:asciiTheme="majorHAnsi" w:hAnsiTheme="majorHAnsi"/>
                <w:color w:val="000000"/>
                <w:sz w:val="20"/>
                <w:szCs w:val="20"/>
              </w:rPr>
            </w:pPr>
            <w:r w:rsidRPr="00354D81">
              <w:rPr>
                <w:rFonts w:asciiTheme="majorHAnsi" w:hAnsiTheme="majorHAnsi"/>
                <w:color w:val="000000"/>
                <w:sz w:val="20"/>
                <w:szCs w:val="20"/>
              </w:rPr>
              <w:t> </w:t>
            </w:r>
          </w:p>
        </w:tc>
        <w:tc>
          <w:tcPr>
            <w:tcW w:w="1820" w:type="dxa"/>
            <w:tcBorders>
              <w:top w:val="nil"/>
              <w:left w:val="nil"/>
              <w:bottom w:val="single" w:sz="8" w:space="0" w:color="auto"/>
              <w:right w:val="single" w:sz="4" w:space="0" w:color="auto"/>
            </w:tcBorders>
            <w:shd w:val="clear" w:color="auto" w:fill="auto"/>
            <w:noWrap/>
            <w:vAlign w:val="bottom"/>
            <w:hideMark/>
          </w:tcPr>
          <w:p w:rsidR="003E2F63" w:rsidRPr="00354D81" w:rsidRDefault="003E2F63" w:rsidP="00933791">
            <w:pPr>
              <w:jc w:val="center"/>
              <w:rPr>
                <w:rFonts w:asciiTheme="majorHAnsi" w:hAnsiTheme="majorHAnsi"/>
                <w:color w:val="000000"/>
                <w:sz w:val="20"/>
                <w:szCs w:val="20"/>
              </w:rPr>
            </w:pPr>
            <w:r w:rsidRPr="00354D81">
              <w:rPr>
                <w:rFonts w:asciiTheme="majorHAnsi" w:hAnsiTheme="majorHAnsi"/>
                <w:color w:val="000000"/>
                <w:sz w:val="20"/>
                <w:szCs w:val="20"/>
              </w:rPr>
              <w:t> </w:t>
            </w:r>
          </w:p>
        </w:tc>
        <w:tc>
          <w:tcPr>
            <w:tcW w:w="1200" w:type="dxa"/>
            <w:tcBorders>
              <w:top w:val="nil"/>
              <w:left w:val="nil"/>
              <w:bottom w:val="single" w:sz="8" w:space="0" w:color="auto"/>
              <w:right w:val="single" w:sz="4" w:space="0" w:color="auto"/>
            </w:tcBorders>
            <w:shd w:val="clear" w:color="auto" w:fill="auto"/>
            <w:noWrap/>
            <w:vAlign w:val="bottom"/>
            <w:hideMark/>
          </w:tcPr>
          <w:p w:rsidR="003E2F63" w:rsidRPr="00354D81" w:rsidRDefault="003E2F63" w:rsidP="00933791">
            <w:pPr>
              <w:jc w:val="center"/>
              <w:rPr>
                <w:rFonts w:asciiTheme="majorHAnsi" w:hAnsiTheme="majorHAnsi"/>
                <w:color w:val="000000"/>
                <w:sz w:val="20"/>
                <w:szCs w:val="20"/>
              </w:rPr>
            </w:pPr>
            <w:r w:rsidRPr="00354D81">
              <w:rPr>
                <w:rFonts w:asciiTheme="majorHAnsi" w:hAnsiTheme="majorHAnsi"/>
                <w:color w:val="000000"/>
                <w:sz w:val="20"/>
                <w:szCs w:val="20"/>
              </w:rPr>
              <w:t> </w:t>
            </w:r>
          </w:p>
        </w:tc>
        <w:tc>
          <w:tcPr>
            <w:tcW w:w="1461" w:type="dxa"/>
            <w:tcBorders>
              <w:top w:val="nil"/>
              <w:left w:val="nil"/>
              <w:bottom w:val="single" w:sz="8" w:space="0" w:color="auto"/>
              <w:right w:val="single" w:sz="4" w:space="0" w:color="auto"/>
            </w:tcBorders>
            <w:shd w:val="clear" w:color="auto" w:fill="auto"/>
            <w:noWrap/>
            <w:vAlign w:val="bottom"/>
            <w:hideMark/>
          </w:tcPr>
          <w:p w:rsidR="003E2F63" w:rsidRPr="00354D81" w:rsidRDefault="003E2F63" w:rsidP="00933791">
            <w:pPr>
              <w:jc w:val="center"/>
              <w:rPr>
                <w:rFonts w:asciiTheme="majorHAnsi" w:hAnsiTheme="majorHAnsi"/>
                <w:color w:val="000000"/>
                <w:sz w:val="20"/>
                <w:szCs w:val="20"/>
              </w:rPr>
            </w:pPr>
            <w:r w:rsidRPr="00354D81">
              <w:rPr>
                <w:rFonts w:asciiTheme="majorHAnsi" w:hAnsiTheme="majorHAnsi"/>
                <w:color w:val="000000"/>
                <w:sz w:val="20"/>
                <w:szCs w:val="20"/>
              </w:rPr>
              <w:t> </w:t>
            </w:r>
          </w:p>
        </w:tc>
        <w:tc>
          <w:tcPr>
            <w:tcW w:w="2207" w:type="dxa"/>
            <w:tcBorders>
              <w:top w:val="nil"/>
              <w:left w:val="nil"/>
              <w:bottom w:val="single" w:sz="8" w:space="0" w:color="auto"/>
              <w:right w:val="single" w:sz="4" w:space="0" w:color="auto"/>
            </w:tcBorders>
            <w:shd w:val="clear" w:color="auto" w:fill="auto"/>
            <w:noWrap/>
            <w:vAlign w:val="bottom"/>
            <w:hideMark/>
          </w:tcPr>
          <w:p w:rsidR="003E2F63" w:rsidRPr="00354D81" w:rsidRDefault="003E2F63" w:rsidP="00933791">
            <w:pPr>
              <w:jc w:val="center"/>
              <w:rPr>
                <w:rFonts w:asciiTheme="majorHAnsi" w:hAnsiTheme="majorHAnsi"/>
                <w:color w:val="000000"/>
                <w:sz w:val="20"/>
                <w:szCs w:val="20"/>
              </w:rPr>
            </w:pPr>
            <w:r w:rsidRPr="00354D81">
              <w:rPr>
                <w:rFonts w:asciiTheme="majorHAnsi" w:hAnsiTheme="majorHAnsi"/>
                <w:color w:val="000000"/>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3E2F63" w:rsidRPr="00354D81" w:rsidRDefault="003E2F63" w:rsidP="00933791">
            <w:pPr>
              <w:jc w:val="center"/>
              <w:rPr>
                <w:rFonts w:asciiTheme="majorHAnsi" w:hAnsiTheme="majorHAnsi"/>
                <w:color w:val="000000"/>
                <w:sz w:val="20"/>
                <w:szCs w:val="20"/>
              </w:rPr>
            </w:pPr>
            <w:r w:rsidRPr="00354D81">
              <w:rPr>
                <w:rFonts w:asciiTheme="majorHAnsi" w:hAnsiTheme="majorHAnsi"/>
                <w:color w:val="000000"/>
                <w:sz w:val="20"/>
                <w:szCs w:val="20"/>
              </w:rPr>
              <w:t> </w:t>
            </w:r>
          </w:p>
        </w:tc>
      </w:tr>
      <w:tr w:rsidR="003E2F63" w:rsidRPr="00354D81" w:rsidTr="003E2F63">
        <w:trPr>
          <w:trHeight w:val="135"/>
        </w:trPr>
        <w:tc>
          <w:tcPr>
            <w:tcW w:w="21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olor w:val="000000"/>
                <w:sz w:val="20"/>
                <w:szCs w:val="20"/>
              </w:rPr>
            </w:pPr>
          </w:p>
        </w:tc>
        <w:tc>
          <w:tcPr>
            <w:tcW w:w="21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olor w:val="000000"/>
                <w:sz w:val="20"/>
                <w:szCs w:val="20"/>
              </w:rPr>
            </w:pPr>
          </w:p>
        </w:tc>
        <w:tc>
          <w:tcPr>
            <w:tcW w:w="14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olor w:val="000000"/>
                <w:sz w:val="20"/>
                <w:szCs w:val="20"/>
              </w:rPr>
            </w:pPr>
          </w:p>
        </w:tc>
        <w:tc>
          <w:tcPr>
            <w:tcW w:w="18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olor w:val="000000"/>
                <w:sz w:val="20"/>
                <w:szCs w:val="20"/>
              </w:rPr>
            </w:pPr>
          </w:p>
        </w:tc>
        <w:tc>
          <w:tcPr>
            <w:tcW w:w="120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olor w:val="000000"/>
                <w:sz w:val="20"/>
                <w:szCs w:val="20"/>
              </w:rPr>
            </w:pPr>
          </w:p>
        </w:tc>
        <w:tc>
          <w:tcPr>
            <w:tcW w:w="1461"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olor w:val="000000"/>
                <w:sz w:val="20"/>
                <w:szCs w:val="20"/>
              </w:rPr>
            </w:pPr>
          </w:p>
        </w:tc>
        <w:tc>
          <w:tcPr>
            <w:tcW w:w="2207"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olor w:val="000000"/>
                <w:sz w:val="20"/>
                <w:szCs w:val="20"/>
              </w:rPr>
            </w:pPr>
          </w:p>
        </w:tc>
        <w:tc>
          <w:tcPr>
            <w:tcW w:w="1720" w:type="dxa"/>
            <w:tcBorders>
              <w:top w:val="nil"/>
              <w:left w:val="nil"/>
              <w:bottom w:val="nil"/>
              <w:right w:val="nil"/>
            </w:tcBorders>
            <w:shd w:val="clear" w:color="auto" w:fill="auto"/>
            <w:noWrap/>
            <w:vAlign w:val="bottom"/>
            <w:hideMark/>
          </w:tcPr>
          <w:p w:rsidR="003E2F63" w:rsidRPr="00354D81" w:rsidRDefault="003E2F63" w:rsidP="00933791">
            <w:pPr>
              <w:rPr>
                <w:rFonts w:asciiTheme="majorHAnsi" w:hAnsiTheme="majorHAnsi"/>
                <w:color w:val="000000"/>
                <w:sz w:val="20"/>
                <w:szCs w:val="20"/>
              </w:rPr>
            </w:pPr>
          </w:p>
        </w:tc>
      </w:tr>
      <w:tr w:rsidR="003E2F63" w:rsidRPr="004113E8" w:rsidTr="003E2F63">
        <w:trPr>
          <w:trHeight w:val="300"/>
        </w:trPr>
        <w:tc>
          <w:tcPr>
            <w:tcW w:w="2120" w:type="dxa"/>
            <w:tcBorders>
              <w:top w:val="nil"/>
              <w:left w:val="nil"/>
              <w:bottom w:val="nil"/>
              <w:right w:val="nil"/>
            </w:tcBorders>
            <w:shd w:val="clear" w:color="auto" w:fill="auto"/>
            <w:noWrap/>
            <w:vAlign w:val="bottom"/>
            <w:hideMark/>
          </w:tcPr>
          <w:p w:rsidR="003E2F63" w:rsidRPr="004113E8" w:rsidRDefault="003E2F63" w:rsidP="00933791">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3E2F63" w:rsidRPr="004113E8" w:rsidRDefault="003E2F63" w:rsidP="00933791">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3E2F63" w:rsidRPr="004113E8" w:rsidRDefault="003E2F63" w:rsidP="00933791">
            <w:pPr>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rsidR="003E2F63" w:rsidRPr="004113E8" w:rsidRDefault="003E2F63" w:rsidP="00933791">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E2F63" w:rsidRPr="004113E8" w:rsidRDefault="003E2F63" w:rsidP="00933791">
            <w:pPr>
              <w:rPr>
                <w:rFonts w:ascii="Calibri" w:hAnsi="Calibri"/>
                <w:color w:val="000000"/>
                <w:sz w:val="22"/>
                <w:szCs w:val="22"/>
              </w:rPr>
            </w:pPr>
          </w:p>
        </w:tc>
        <w:tc>
          <w:tcPr>
            <w:tcW w:w="1461" w:type="dxa"/>
            <w:tcBorders>
              <w:top w:val="nil"/>
              <w:left w:val="nil"/>
              <w:bottom w:val="nil"/>
              <w:right w:val="nil"/>
            </w:tcBorders>
            <w:shd w:val="clear" w:color="auto" w:fill="auto"/>
            <w:noWrap/>
            <w:vAlign w:val="bottom"/>
            <w:hideMark/>
          </w:tcPr>
          <w:p w:rsidR="003E2F63" w:rsidRPr="004113E8" w:rsidRDefault="003E2F63" w:rsidP="00933791">
            <w:pPr>
              <w:rPr>
                <w:rFonts w:ascii="Calibri" w:hAnsi="Calibri"/>
                <w:color w:val="000000"/>
                <w:sz w:val="22"/>
                <w:szCs w:val="22"/>
              </w:rPr>
            </w:pPr>
          </w:p>
        </w:tc>
        <w:tc>
          <w:tcPr>
            <w:tcW w:w="2207" w:type="dxa"/>
            <w:tcBorders>
              <w:top w:val="nil"/>
              <w:left w:val="nil"/>
              <w:bottom w:val="nil"/>
              <w:right w:val="nil"/>
            </w:tcBorders>
            <w:shd w:val="clear" w:color="auto" w:fill="auto"/>
            <w:noWrap/>
            <w:vAlign w:val="bottom"/>
            <w:hideMark/>
          </w:tcPr>
          <w:p w:rsidR="003E2F63" w:rsidRPr="004113E8" w:rsidRDefault="003E2F63" w:rsidP="00933791">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3E2F63" w:rsidRPr="004113E8" w:rsidRDefault="003E2F63" w:rsidP="00933791">
            <w:pPr>
              <w:rPr>
                <w:rFonts w:ascii="Calibri" w:hAnsi="Calibri"/>
                <w:color w:val="000000"/>
                <w:sz w:val="22"/>
                <w:szCs w:val="22"/>
              </w:rPr>
            </w:pPr>
          </w:p>
        </w:tc>
      </w:tr>
    </w:tbl>
    <w:p w:rsidR="003E2F63" w:rsidRDefault="003E2F63" w:rsidP="002E3859">
      <w:pPr>
        <w:autoSpaceDE w:val="0"/>
        <w:autoSpaceDN w:val="0"/>
        <w:adjustRightInd w:val="0"/>
        <w:jc w:val="both"/>
        <w:rPr>
          <w:rFonts w:ascii="Cambria" w:hAnsi="Cambria" w:cs="Cambria"/>
          <w:color w:val="000000"/>
          <w:sz w:val="20"/>
          <w:szCs w:val="20"/>
        </w:rPr>
        <w:sectPr w:rsidR="003E2F63" w:rsidSect="003E2F63">
          <w:pgSz w:w="16838" w:h="11906" w:orient="landscape"/>
          <w:pgMar w:top="1417" w:right="1417" w:bottom="1417" w:left="1417" w:header="708" w:footer="708" w:gutter="0"/>
          <w:cols w:space="708"/>
          <w:titlePg/>
          <w:docGrid w:linePitch="360"/>
        </w:sectPr>
      </w:pPr>
    </w:p>
    <w:p w:rsidR="003E2F63" w:rsidRPr="00354D81" w:rsidRDefault="003E2F63" w:rsidP="003E2F63">
      <w:pPr>
        <w:rPr>
          <w:rFonts w:asciiTheme="majorHAnsi" w:hAnsiTheme="majorHAnsi" w:cs="Helvetica"/>
          <w:sz w:val="20"/>
          <w:szCs w:val="20"/>
        </w:rPr>
      </w:pPr>
      <w:r w:rsidRPr="00354D81">
        <w:rPr>
          <w:rFonts w:asciiTheme="majorHAnsi" w:hAnsiTheme="majorHAnsi" w:cs="Helvetica"/>
          <w:sz w:val="20"/>
          <w:szCs w:val="20"/>
        </w:rPr>
        <w:lastRenderedPageBreak/>
        <w:t xml:space="preserve">Príloha č. 2 – Návrh ponúkaných služieb k ZMLUVE O ZDRUŽENEJ DODÁVKE ELEKTRINY, </w:t>
      </w:r>
    </w:p>
    <w:p w:rsidR="003E2F63" w:rsidRPr="00354D81" w:rsidRDefault="003E2F63" w:rsidP="003E2F63">
      <w:pPr>
        <w:rPr>
          <w:rFonts w:asciiTheme="majorHAnsi" w:hAnsiTheme="majorHAnsi" w:cs="Helvetica"/>
          <w:sz w:val="20"/>
          <w:szCs w:val="20"/>
        </w:rPr>
      </w:pPr>
      <w:r w:rsidRPr="00354D81">
        <w:rPr>
          <w:rFonts w:asciiTheme="majorHAnsi" w:hAnsiTheme="majorHAnsi" w:cs="Helvetica"/>
          <w:sz w:val="20"/>
          <w:szCs w:val="20"/>
        </w:rPr>
        <w:t xml:space="preserve">DISTRIBÚCIE ELEKTRINY A PREVZATIA ZODPOVEDNOSTI ZA ODCHÝLKU č. </w:t>
      </w:r>
      <w:r w:rsidR="00933791" w:rsidRPr="00933791">
        <w:rPr>
          <w:rFonts w:ascii="Cambria" w:hAnsi="Cambria" w:cs="Cambria"/>
          <w:bCs/>
          <w:color w:val="000000"/>
          <w:sz w:val="20"/>
          <w:szCs w:val="20"/>
        </w:rPr>
        <w:t>1111405</w:t>
      </w:r>
    </w:p>
    <w:p w:rsidR="003E2F63" w:rsidRPr="00354D81" w:rsidRDefault="003E2F63" w:rsidP="003E2F63">
      <w:pPr>
        <w:rPr>
          <w:rFonts w:asciiTheme="majorHAnsi" w:hAnsiTheme="majorHAnsi" w:cs="Helvetica"/>
          <w:sz w:val="20"/>
          <w:szCs w:val="20"/>
        </w:rPr>
      </w:pPr>
    </w:p>
    <w:p w:rsidR="003E2F63" w:rsidRPr="00354D81" w:rsidRDefault="003E2F63" w:rsidP="003E2F63">
      <w:pPr>
        <w:rPr>
          <w:rFonts w:asciiTheme="majorHAnsi" w:hAnsiTheme="majorHAnsi" w:cs="Helvetica"/>
          <w:sz w:val="20"/>
          <w:szCs w:val="20"/>
        </w:rPr>
      </w:pPr>
      <w:proofErr w:type="spellStart"/>
      <w:r w:rsidRPr="00354D81">
        <w:rPr>
          <w:rFonts w:asciiTheme="majorHAnsi" w:hAnsiTheme="majorHAnsi" w:cs="Helvetica"/>
          <w:sz w:val="20"/>
          <w:szCs w:val="20"/>
        </w:rPr>
        <w:t>Spoločnost</w:t>
      </w:r>
      <w:proofErr w:type="spellEnd"/>
      <w:r w:rsidRPr="00354D81">
        <w:rPr>
          <w:rFonts w:asciiTheme="majorHAnsi" w:hAnsiTheme="majorHAnsi" w:cs="Helvetica"/>
          <w:sz w:val="20"/>
          <w:szCs w:val="20"/>
        </w:rPr>
        <w:t xml:space="preserve"> Energie2, a.s. Vám ako svojmu firemnému zákazníkovi ponuka rôzne </w:t>
      </w:r>
      <w:proofErr w:type="spellStart"/>
      <w:r w:rsidRPr="00354D81">
        <w:rPr>
          <w:rFonts w:asciiTheme="majorHAnsi" w:hAnsiTheme="majorHAnsi" w:cs="Helvetica"/>
          <w:sz w:val="20"/>
          <w:szCs w:val="20"/>
        </w:rPr>
        <w:t>benefity</w:t>
      </w:r>
      <w:proofErr w:type="spellEnd"/>
      <w:r w:rsidRPr="00354D81">
        <w:rPr>
          <w:rFonts w:asciiTheme="majorHAnsi" w:hAnsiTheme="majorHAnsi" w:cs="Helvetica"/>
          <w:sz w:val="20"/>
          <w:szCs w:val="20"/>
        </w:rPr>
        <w:t>, napr.:</w:t>
      </w:r>
    </w:p>
    <w:p w:rsidR="003E2F63" w:rsidRPr="00354D81" w:rsidRDefault="003E2F63" w:rsidP="003E2F63">
      <w:pPr>
        <w:rPr>
          <w:rFonts w:asciiTheme="majorHAnsi" w:hAnsiTheme="majorHAnsi" w:cs="Helvetica"/>
          <w:sz w:val="20"/>
          <w:szCs w:val="20"/>
        </w:rPr>
      </w:pPr>
    </w:p>
    <w:p w:rsidR="003E2F63" w:rsidRPr="00354D81" w:rsidRDefault="003E2F63" w:rsidP="003E2F63">
      <w:pPr>
        <w:pStyle w:val="Odsekzoznamu"/>
        <w:numPr>
          <w:ilvl w:val="0"/>
          <w:numId w:val="4"/>
        </w:numPr>
        <w:rPr>
          <w:rFonts w:asciiTheme="majorHAnsi" w:hAnsiTheme="majorHAnsi" w:cs="Helvetica"/>
          <w:sz w:val="20"/>
          <w:szCs w:val="20"/>
        </w:rPr>
      </w:pPr>
      <w:r w:rsidRPr="00354D81">
        <w:rPr>
          <w:rFonts w:asciiTheme="majorHAnsi" w:hAnsiTheme="majorHAnsi" w:cs="Helvetica"/>
          <w:sz w:val="20"/>
          <w:szCs w:val="20"/>
        </w:rPr>
        <w:t>Pri dodávke oboch komodít súčasne zvýhodnené cenove alebo zmluvne podmienky</w:t>
      </w:r>
    </w:p>
    <w:p w:rsidR="003E2F63" w:rsidRPr="00354D81" w:rsidRDefault="003E2F63" w:rsidP="003E2F63">
      <w:pPr>
        <w:pStyle w:val="Odsekzoznamu"/>
        <w:rPr>
          <w:rFonts w:asciiTheme="majorHAnsi" w:hAnsiTheme="majorHAnsi" w:cs="Helvetica"/>
          <w:sz w:val="20"/>
          <w:szCs w:val="20"/>
        </w:rPr>
      </w:pPr>
    </w:p>
    <w:p w:rsidR="003E2F63" w:rsidRPr="00354D81" w:rsidRDefault="003E2F63" w:rsidP="003E2F63">
      <w:pPr>
        <w:pStyle w:val="Odsekzoznamu"/>
        <w:numPr>
          <w:ilvl w:val="0"/>
          <w:numId w:val="4"/>
        </w:numPr>
        <w:rPr>
          <w:rFonts w:asciiTheme="majorHAnsi" w:hAnsiTheme="majorHAnsi" w:cs="Helvetica"/>
          <w:sz w:val="20"/>
          <w:szCs w:val="20"/>
        </w:rPr>
      </w:pPr>
      <w:r w:rsidRPr="00354D81">
        <w:rPr>
          <w:rFonts w:asciiTheme="majorHAnsi" w:hAnsiTheme="majorHAnsi" w:cs="Helvetica"/>
          <w:sz w:val="20"/>
          <w:szCs w:val="20"/>
        </w:rPr>
        <w:t>Zákaznícke centrum v Meste Topoľčany</w:t>
      </w:r>
    </w:p>
    <w:p w:rsidR="003E2F63" w:rsidRPr="00354D81" w:rsidRDefault="003E2F63" w:rsidP="003E2F63">
      <w:pPr>
        <w:pStyle w:val="Odsekzoznamu"/>
        <w:rPr>
          <w:rFonts w:asciiTheme="majorHAnsi" w:hAnsiTheme="majorHAnsi" w:cs="Helvetica"/>
          <w:sz w:val="20"/>
          <w:szCs w:val="20"/>
        </w:rPr>
      </w:pPr>
    </w:p>
    <w:p w:rsidR="003E2F63" w:rsidRPr="00354D81" w:rsidRDefault="003E2F63" w:rsidP="003E2F63">
      <w:pPr>
        <w:pStyle w:val="Odsekzoznamu"/>
        <w:numPr>
          <w:ilvl w:val="0"/>
          <w:numId w:val="4"/>
        </w:numPr>
        <w:rPr>
          <w:rFonts w:asciiTheme="majorHAnsi" w:hAnsiTheme="majorHAnsi" w:cs="Helvetica"/>
          <w:sz w:val="20"/>
          <w:szCs w:val="20"/>
        </w:rPr>
      </w:pPr>
      <w:r w:rsidRPr="00354D81">
        <w:rPr>
          <w:rFonts w:asciiTheme="majorHAnsi" w:hAnsiTheme="majorHAnsi" w:cs="Helvetica"/>
          <w:sz w:val="20"/>
          <w:szCs w:val="20"/>
        </w:rPr>
        <w:t>Odborné energetické poradenstvo</w:t>
      </w:r>
    </w:p>
    <w:p w:rsidR="003E2F63" w:rsidRPr="00354D81" w:rsidRDefault="003E2F63" w:rsidP="003E2F63">
      <w:pPr>
        <w:pStyle w:val="Odsekzoznamu"/>
        <w:rPr>
          <w:rFonts w:asciiTheme="majorHAnsi" w:hAnsiTheme="majorHAnsi" w:cs="Helvetica"/>
          <w:sz w:val="20"/>
          <w:szCs w:val="20"/>
        </w:rPr>
      </w:pPr>
    </w:p>
    <w:p w:rsidR="003E2F63" w:rsidRPr="00354D81" w:rsidRDefault="003E2F63" w:rsidP="003E2F63">
      <w:pPr>
        <w:pStyle w:val="Odsekzoznamu"/>
        <w:numPr>
          <w:ilvl w:val="0"/>
          <w:numId w:val="4"/>
        </w:numPr>
        <w:rPr>
          <w:rFonts w:asciiTheme="majorHAnsi" w:hAnsiTheme="majorHAnsi" w:cs="Helvetica"/>
          <w:sz w:val="20"/>
          <w:szCs w:val="20"/>
        </w:rPr>
      </w:pPr>
      <w:r w:rsidRPr="00354D81">
        <w:rPr>
          <w:rFonts w:asciiTheme="majorHAnsi" w:hAnsiTheme="majorHAnsi" w:cs="Helvetica"/>
          <w:sz w:val="20"/>
          <w:szCs w:val="20"/>
        </w:rPr>
        <w:t>Optimalizáciu a nastavenie technických parametrov Vašich odberov</w:t>
      </w:r>
    </w:p>
    <w:p w:rsidR="003E2F63" w:rsidRPr="00354D81" w:rsidRDefault="003E2F63" w:rsidP="003E2F63">
      <w:pPr>
        <w:pStyle w:val="Odsekzoznamu"/>
        <w:rPr>
          <w:rFonts w:asciiTheme="majorHAnsi" w:hAnsiTheme="majorHAnsi" w:cs="Helvetica"/>
          <w:sz w:val="20"/>
          <w:szCs w:val="20"/>
        </w:rPr>
      </w:pPr>
    </w:p>
    <w:p w:rsidR="003E2F63" w:rsidRPr="00354D81" w:rsidRDefault="003E2F63" w:rsidP="003E2F63">
      <w:pPr>
        <w:pStyle w:val="Odsekzoznamu"/>
        <w:numPr>
          <w:ilvl w:val="0"/>
          <w:numId w:val="4"/>
        </w:numPr>
        <w:rPr>
          <w:rFonts w:asciiTheme="majorHAnsi" w:hAnsiTheme="majorHAnsi" w:cs="Helvetica"/>
          <w:sz w:val="20"/>
          <w:szCs w:val="20"/>
        </w:rPr>
      </w:pPr>
      <w:r w:rsidRPr="00354D81">
        <w:rPr>
          <w:rFonts w:asciiTheme="majorHAnsi" w:hAnsiTheme="majorHAnsi" w:cs="Helvetica"/>
          <w:sz w:val="20"/>
          <w:szCs w:val="20"/>
        </w:rPr>
        <w:t xml:space="preserve">Doplnkové služby (energeticky certifikát, audit, ...) </w:t>
      </w:r>
    </w:p>
    <w:p w:rsidR="003E2F63" w:rsidRPr="00354D81" w:rsidRDefault="003E2F63" w:rsidP="003E2F63">
      <w:pPr>
        <w:pStyle w:val="Odsekzoznamu"/>
        <w:rPr>
          <w:rFonts w:asciiTheme="majorHAnsi" w:hAnsiTheme="majorHAnsi" w:cs="Helvetica"/>
          <w:sz w:val="20"/>
          <w:szCs w:val="20"/>
        </w:rPr>
      </w:pPr>
    </w:p>
    <w:p w:rsidR="003E2F63" w:rsidRPr="00354D81" w:rsidRDefault="003E2F63" w:rsidP="003E2F63">
      <w:pPr>
        <w:pStyle w:val="Odsekzoznamu"/>
        <w:numPr>
          <w:ilvl w:val="0"/>
          <w:numId w:val="4"/>
        </w:numPr>
        <w:rPr>
          <w:rFonts w:asciiTheme="majorHAnsi" w:hAnsiTheme="majorHAnsi" w:cs="Helvetica"/>
          <w:sz w:val="20"/>
          <w:szCs w:val="20"/>
        </w:rPr>
      </w:pPr>
      <w:r w:rsidRPr="00354D81">
        <w:rPr>
          <w:rFonts w:asciiTheme="majorHAnsi" w:hAnsiTheme="majorHAnsi" w:cs="Helvetica"/>
          <w:sz w:val="20"/>
          <w:szCs w:val="20"/>
        </w:rPr>
        <w:t xml:space="preserve">Prehľadný zákaznícky web portál – </w:t>
      </w:r>
      <w:proofErr w:type="spellStart"/>
      <w:r w:rsidRPr="00354D81">
        <w:rPr>
          <w:rFonts w:asciiTheme="majorHAnsi" w:hAnsiTheme="majorHAnsi" w:cs="Helvetica"/>
          <w:sz w:val="20"/>
          <w:szCs w:val="20"/>
        </w:rPr>
        <w:t>online</w:t>
      </w:r>
      <w:proofErr w:type="spellEnd"/>
      <w:r w:rsidRPr="00354D81">
        <w:rPr>
          <w:rFonts w:asciiTheme="majorHAnsi" w:hAnsiTheme="majorHAnsi" w:cs="Helvetica"/>
          <w:sz w:val="20"/>
          <w:szCs w:val="20"/>
        </w:rPr>
        <w:t xml:space="preserve"> správa dát</w:t>
      </w:r>
    </w:p>
    <w:p w:rsidR="003E2F63" w:rsidRPr="00354D81" w:rsidRDefault="003E2F63" w:rsidP="003E2F63">
      <w:pPr>
        <w:pStyle w:val="Odsekzoznamu"/>
        <w:rPr>
          <w:rFonts w:asciiTheme="majorHAnsi" w:hAnsiTheme="majorHAnsi" w:cs="Helvetica"/>
          <w:sz w:val="20"/>
          <w:szCs w:val="20"/>
        </w:rPr>
      </w:pPr>
    </w:p>
    <w:p w:rsidR="003E2F63" w:rsidRPr="00354D81" w:rsidRDefault="003E2F63" w:rsidP="003E2F63">
      <w:pPr>
        <w:pStyle w:val="Odsekzoznamu"/>
        <w:numPr>
          <w:ilvl w:val="2"/>
          <w:numId w:val="4"/>
        </w:numPr>
        <w:autoSpaceDE w:val="0"/>
        <w:autoSpaceDN w:val="0"/>
        <w:adjustRightInd w:val="0"/>
        <w:ind w:left="1494"/>
        <w:rPr>
          <w:rFonts w:asciiTheme="majorHAnsi" w:hAnsiTheme="majorHAnsi" w:cs="Helvetica"/>
          <w:iCs/>
          <w:sz w:val="20"/>
          <w:szCs w:val="20"/>
        </w:rPr>
      </w:pPr>
      <w:r w:rsidRPr="00354D81">
        <w:rPr>
          <w:rFonts w:asciiTheme="majorHAnsi" w:hAnsiTheme="majorHAnsi" w:cs="Helvetica"/>
          <w:iCs/>
          <w:sz w:val="20"/>
          <w:szCs w:val="20"/>
        </w:rPr>
        <w:t>zoznam odberných miest s uvedením technických detailov</w:t>
      </w:r>
    </w:p>
    <w:p w:rsidR="003E2F63" w:rsidRPr="00354D81" w:rsidRDefault="003E2F63" w:rsidP="003E2F63">
      <w:pPr>
        <w:pStyle w:val="Odsekzoznamu"/>
        <w:numPr>
          <w:ilvl w:val="2"/>
          <w:numId w:val="4"/>
        </w:numPr>
        <w:autoSpaceDE w:val="0"/>
        <w:autoSpaceDN w:val="0"/>
        <w:adjustRightInd w:val="0"/>
        <w:ind w:left="1494"/>
        <w:rPr>
          <w:rFonts w:asciiTheme="majorHAnsi" w:hAnsiTheme="majorHAnsi" w:cs="Helvetica"/>
          <w:iCs/>
          <w:sz w:val="20"/>
          <w:szCs w:val="20"/>
        </w:rPr>
      </w:pPr>
      <w:r w:rsidRPr="00354D81">
        <w:rPr>
          <w:rFonts w:asciiTheme="majorHAnsi" w:hAnsiTheme="majorHAnsi" w:cs="Helvetica"/>
          <w:iCs/>
          <w:sz w:val="20"/>
          <w:szCs w:val="20"/>
        </w:rPr>
        <w:t>prístup k údajom o spotrebe jednotlivých odberných miest vrátane histórie spotreby</w:t>
      </w:r>
    </w:p>
    <w:p w:rsidR="003E2F63" w:rsidRPr="00354D81" w:rsidRDefault="003E2F63" w:rsidP="003E2F63">
      <w:pPr>
        <w:pStyle w:val="Odsekzoznamu"/>
        <w:numPr>
          <w:ilvl w:val="2"/>
          <w:numId w:val="4"/>
        </w:numPr>
        <w:autoSpaceDE w:val="0"/>
        <w:autoSpaceDN w:val="0"/>
        <w:adjustRightInd w:val="0"/>
        <w:ind w:left="1494"/>
        <w:rPr>
          <w:rFonts w:asciiTheme="majorHAnsi" w:hAnsiTheme="majorHAnsi" w:cs="Helvetica"/>
          <w:iCs/>
          <w:sz w:val="20"/>
          <w:szCs w:val="20"/>
        </w:rPr>
      </w:pPr>
      <w:r w:rsidRPr="00354D81">
        <w:rPr>
          <w:rFonts w:asciiTheme="majorHAnsi" w:hAnsiTheme="majorHAnsi" w:cs="Helvetica"/>
          <w:iCs/>
          <w:sz w:val="20"/>
          <w:szCs w:val="20"/>
        </w:rPr>
        <w:t>prístup k faktúram vrátane archívu faktúr</w:t>
      </w:r>
    </w:p>
    <w:p w:rsidR="003E2F63" w:rsidRPr="00354D81" w:rsidRDefault="003E2F63" w:rsidP="003E2F63">
      <w:pPr>
        <w:pStyle w:val="Odsekzoznamu"/>
        <w:numPr>
          <w:ilvl w:val="2"/>
          <w:numId w:val="4"/>
        </w:numPr>
        <w:autoSpaceDE w:val="0"/>
        <w:autoSpaceDN w:val="0"/>
        <w:adjustRightInd w:val="0"/>
        <w:ind w:left="1494"/>
        <w:rPr>
          <w:rFonts w:asciiTheme="majorHAnsi" w:hAnsiTheme="majorHAnsi" w:cs="Helvetica"/>
          <w:iCs/>
          <w:sz w:val="20"/>
          <w:szCs w:val="20"/>
        </w:rPr>
      </w:pPr>
      <w:r w:rsidRPr="00354D81">
        <w:rPr>
          <w:rFonts w:asciiTheme="majorHAnsi" w:hAnsiTheme="majorHAnsi" w:cs="Helvetica"/>
          <w:iCs/>
          <w:sz w:val="20"/>
          <w:szCs w:val="20"/>
        </w:rPr>
        <w:t>stav platieb a pohľadávok</w:t>
      </w:r>
    </w:p>
    <w:p w:rsidR="003E2F63" w:rsidRPr="00354D81" w:rsidRDefault="003E2F63" w:rsidP="003E2F63">
      <w:pPr>
        <w:pStyle w:val="Default"/>
        <w:rPr>
          <w:rFonts w:asciiTheme="majorHAnsi" w:hAnsiTheme="majorHAnsi" w:cs="Helvetica"/>
          <w:sz w:val="20"/>
          <w:szCs w:val="20"/>
        </w:rPr>
      </w:pPr>
    </w:p>
    <w:p w:rsidR="003E2F63" w:rsidRPr="00354D81" w:rsidRDefault="003E2F63" w:rsidP="003E2F63">
      <w:pPr>
        <w:pStyle w:val="Default"/>
        <w:numPr>
          <w:ilvl w:val="0"/>
          <w:numId w:val="4"/>
        </w:numPr>
        <w:spacing w:after="59"/>
        <w:rPr>
          <w:rStyle w:val="A3"/>
          <w:rFonts w:asciiTheme="majorHAnsi" w:hAnsiTheme="majorHAnsi" w:cs="Helvetica"/>
          <w:sz w:val="20"/>
          <w:szCs w:val="20"/>
        </w:rPr>
      </w:pPr>
      <w:r w:rsidRPr="00354D81">
        <w:rPr>
          <w:rStyle w:val="A3"/>
          <w:rFonts w:asciiTheme="majorHAnsi" w:hAnsiTheme="majorHAnsi" w:cs="Helvetica"/>
          <w:sz w:val="20"/>
          <w:szCs w:val="20"/>
        </w:rPr>
        <w:t>osobná konzultácia podmienok zmluvy a profesionálna zákaznícka starostlivosť</w:t>
      </w:r>
    </w:p>
    <w:p w:rsidR="003E2F63" w:rsidRPr="00354D81" w:rsidRDefault="003E2F63" w:rsidP="003E2F63">
      <w:pPr>
        <w:pStyle w:val="Default"/>
        <w:spacing w:after="59"/>
        <w:ind w:left="720"/>
        <w:rPr>
          <w:rFonts w:asciiTheme="majorHAnsi" w:hAnsiTheme="majorHAnsi" w:cs="Helvetica"/>
          <w:sz w:val="20"/>
          <w:szCs w:val="20"/>
        </w:rPr>
      </w:pPr>
    </w:p>
    <w:p w:rsidR="003E2F63" w:rsidRPr="00354D81" w:rsidRDefault="003E2F63" w:rsidP="003E2F63">
      <w:pPr>
        <w:pStyle w:val="Default"/>
        <w:numPr>
          <w:ilvl w:val="0"/>
          <w:numId w:val="4"/>
        </w:numPr>
        <w:spacing w:after="59"/>
        <w:rPr>
          <w:rStyle w:val="A3"/>
          <w:rFonts w:asciiTheme="majorHAnsi" w:hAnsiTheme="majorHAnsi" w:cs="Helvetica"/>
          <w:sz w:val="20"/>
          <w:szCs w:val="20"/>
        </w:rPr>
      </w:pPr>
      <w:r w:rsidRPr="00354D81">
        <w:rPr>
          <w:rStyle w:val="A3"/>
          <w:rFonts w:asciiTheme="majorHAnsi" w:hAnsiTheme="majorHAnsi" w:cs="Helvetica"/>
          <w:sz w:val="20"/>
          <w:szCs w:val="20"/>
        </w:rPr>
        <w:t>energetické poradenstvo v cene dodávky</w:t>
      </w:r>
    </w:p>
    <w:p w:rsidR="003E2F63" w:rsidRPr="00354D81" w:rsidRDefault="003E2F63" w:rsidP="003E2F63">
      <w:pPr>
        <w:pStyle w:val="Default"/>
        <w:spacing w:after="59"/>
        <w:ind w:left="720"/>
        <w:rPr>
          <w:rFonts w:asciiTheme="majorHAnsi" w:hAnsiTheme="majorHAnsi" w:cs="Helvetica"/>
          <w:sz w:val="20"/>
          <w:szCs w:val="20"/>
        </w:rPr>
      </w:pPr>
    </w:p>
    <w:p w:rsidR="003E2F63" w:rsidRPr="00354D81" w:rsidRDefault="003E2F63" w:rsidP="003E2F63">
      <w:pPr>
        <w:pStyle w:val="Default"/>
        <w:numPr>
          <w:ilvl w:val="0"/>
          <w:numId w:val="4"/>
        </w:numPr>
        <w:rPr>
          <w:rFonts w:asciiTheme="majorHAnsi" w:hAnsiTheme="majorHAnsi" w:cs="Helvetica"/>
          <w:sz w:val="20"/>
          <w:szCs w:val="20"/>
        </w:rPr>
      </w:pPr>
      <w:r w:rsidRPr="00354D81">
        <w:rPr>
          <w:rStyle w:val="A3"/>
          <w:rFonts w:asciiTheme="majorHAnsi" w:hAnsiTheme="majorHAnsi" w:cs="Helvetica"/>
          <w:sz w:val="20"/>
          <w:szCs w:val="20"/>
        </w:rPr>
        <w:t>riešenie doplnkových produktov spolu s dodávkou</w:t>
      </w:r>
    </w:p>
    <w:p w:rsidR="003E2F63" w:rsidRPr="00354D81" w:rsidRDefault="003E2F63" w:rsidP="003E2F63">
      <w:pPr>
        <w:rPr>
          <w:rFonts w:asciiTheme="majorHAnsi" w:hAnsiTheme="majorHAnsi" w:cs="Helvetica"/>
        </w:rPr>
      </w:pPr>
    </w:p>
    <w:p w:rsidR="006C2385" w:rsidRPr="00354D81" w:rsidRDefault="006C2385" w:rsidP="002E3859">
      <w:pPr>
        <w:autoSpaceDE w:val="0"/>
        <w:autoSpaceDN w:val="0"/>
        <w:adjustRightInd w:val="0"/>
        <w:jc w:val="both"/>
        <w:rPr>
          <w:rFonts w:asciiTheme="majorHAnsi" w:hAnsiTheme="majorHAnsi" w:cs="Cambria"/>
          <w:color w:val="000000"/>
          <w:sz w:val="20"/>
          <w:szCs w:val="20"/>
        </w:rPr>
      </w:pPr>
    </w:p>
    <w:p w:rsidR="003E2F63" w:rsidRDefault="003E2F63" w:rsidP="002E3859">
      <w:pPr>
        <w:autoSpaceDE w:val="0"/>
        <w:autoSpaceDN w:val="0"/>
        <w:adjustRightInd w:val="0"/>
        <w:jc w:val="both"/>
        <w:rPr>
          <w:rFonts w:ascii="Cambria" w:hAnsi="Cambria" w:cs="Cambria"/>
          <w:color w:val="000000"/>
          <w:sz w:val="20"/>
          <w:szCs w:val="20"/>
        </w:rPr>
      </w:pPr>
      <w:r w:rsidRPr="00354D81">
        <w:rPr>
          <w:rFonts w:asciiTheme="majorHAnsi" w:hAnsiTheme="majorHAnsi" w:cs="Cambria"/>
          <w:color w:val="000000"/>
          <w:sz w:val="20"/>
          <w:szCs w:val="20"/>
        </w:rPr>
        <w:br w:type="page"/>
      </w:r>
    </w:p>
    <w:tbl>
      <w:tblPr>
        <w:tblW w:w="11196" w:type="dxa"/>
        <w:tblInd w:w="55" w:type="dxa"/>
        <w:tblCellMar>
          <w:left w:w="70" w:type="dxa"/>
          <w:right w:w="70" w:type="dxa"/>
        </w:tblCellMar>
        <w:tblLook w:val="04A0" w:firstRow="1" w:lastRow="0" w:firstColumn="1" w:lastColumn="0" w:noHBand="0" w:noVBand="1"/>
      </w:tblPr>
      <w:tblGrid>
        <w:gridCol w:w="160"/>
        <w:gridCol w:w="380"/>
        <w:gridCol w:w="2220"/>
        <w:gridCol w:w="3340"/>
        <w:gridCol w:w="2220"/>
        <w:gridCol w:w="1476"/>
        <w:gridCol w:w="160"/>
        <w:gridCol w:w="1240"/>
      </w:tblGrid>
      <w:tr w:rsidR="003E2F63" w:rsidRPr="003E2F63" w:rsidTr="003E2F63">
        <w:trPr>
          <w:trHeight w:val="368"/>
        </w:trPr>
        <w:tc>
          <w:tcPr>
            <w:tcW w:w="9796" w:type="dxa"/>
            <w:gridSpan w:val="6"/>
            <w:tcBorders>
              <w:top w:val="nil"/>
              <w:left w:val="nil"/>
              <w:bottom w:val="nil"/>
              <w:right w:val="nil"/>
            </w:tcBorders>
            <w:shd w:val="clear" w:color="auto" w:fill="auto"/>
            <w:noWrap/>
            <w:vAlign w:val="bottom"/>
            <w:hideMark/>
          </w:tcPr>
          <w:p w:rsidR="003E2F63" w:rsidRPr="00354D81" w:rsidRDefault="003E2F63" w:rsidP="003E2F63">
            <w:pPr>
              <w:rPr>
                <w:rFonts w:asciiTheme="majorHAnsi" w:hAnsiTheme="majorHAnsi" w:cs="Tahoma"/>
                <w:bCs/>
                <w:color w:val="000000"/>
                <w:sz w:val="20"/>
                <w:szCs w:val="20"/>
                <w:lang w:eastAsia="sk-SK"/>
              </w:rPr>
            </w:pPr>
            <w:r w:rsidRPr="00354D81">
              <w:rPr>
                <w:rFonts w:asciiTheme="majorHAnsi" w:hAnsiTheme="majorHAnsi" w:cs="Tahoma"/>
                <w:bCs/>
                <w:color w:val="000000"/>
                <w:sz w:val="20"/>
                <w:szCs w:val="20"/>
                <w:lang w:eastAsia="sk-SK"/>
              </w:rPr>
              <w:t xml:space="preserve">Príloha č. 3 – Zoznam subdodávateľov k ZMLUVE O ZDRUŽENEJ DODÁVKE ELEKTRINY, </w:t>
            </w:r>
          </w:p>
          <w:p w:rsidR="003E2F63" w:rsidRPr="00354D81" w:rsidRDefault="003E2F63" w:rsidP="003E2F63">
            <w:pPr>
              <w:rPr>
                <w:rFonts w:asciiTheme="majorHAnsi" w:hAnsiTheme="majorHAnsi" w:cs="Tahoma"/>
                <w:bCs/>
                <w:color w:val="000000"/>
                <w:sz w:val="20"/>
                <w:szCs w:val="20"/>
                <w:lang w:eastAsia="sk-SK"/>
              </w:rPr>
            </w:pPr>
            <w:r w:rsidRPr="00354D81">
              <w:rPr>
                <w:rFonts w:asciiTheme="majorHAnsi" w:hAnsiTheme="majorHAnsi" w:cs="Tahoma"/>
                <w:bCs/>
                <w:color w:val="000000"/>
                <w:sz w:val="20"/>
                <w:szCs w:val="20"/>
                <w:lang w:eastAsia="sk-SK"/>
              </w:rPr>
              <w:t xml:space="preserve">DISTRIBÚCIE ELEKTRINY A PREVZATIA ZODPOVEDNOSTI ZA ODCHÝLKU č. </w:t>
            </w:r>
            <w:r w:rsidR="00933791" w:rsidRPr="00933791">
              <w:rPr>
                <w:rFonts w:ascii="Cambria" w:hAnsi="Cambria" w:cs="Cambria"/>
                <w:bCs/>
                <w:color w:val="000000"/>
                <w:sz w:val="20"/>
                <w:szCs w:val="20"/>
              </w:rPr>
              <w:t>1111405</w:t>
            </w:r>
          </w:p>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184"/>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184"/>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b/>
                <w:bCs/>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94"/>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696" w:type="dxa"/>
            <w:gridSpan w:val="2"/>
            <w:tcBorders>
              <w:top w:val="nil"/>
              <w:left w:val="nil"/>
              <w:bottom w:val="nil"/>
              <w:right w:val="nil"/>
            </w:tcBorders>
            <w:shd w:val="clear" w:color="auto" w:fill="auto"/>
            <w:noWrap/>
            <w:vAlign w:val="center"/>
            <w:hideMark/>
          </w:tcPr>
          <w:p w:rsidR="003E2F63" w:rsidRPr="003E2F63" w:rsidRDefault="003E2F63" w:rsidP="003E2F63">
            <w:pPr>
              <w:jc w:val="center"/>
              <w:rPr>
                <w:rFonts w:asciiTheme="majorHAnsi" w:hAnsiTheme="majorHAnsi" w:cs="Tahoma"/>
                <w:color w:val="000000"/>
                <w:sz w:val="20"/>
                <w:szCs w:val="20"/>
                <w:lang w:eastAsia="sk-SK"/>
              </w:rPr>
            </w:pPr>
          </w:p>
        </w:tc>
        <w:tc>
          <w:tcPr>
            <w:tcW w:w="1400" w:type="dxa"/>
            <w:gridSpan w:val="2"/>
            <w:tcBorders>
              <w:top w:val="nil"/>
              <w:left w:val="nil"/>
              <w:bottom w:val="nil"/>
              <w:right w:val="nil"/>
            </w:tcBorders>
            <w:shd w:val="clear" w:color="auto" w:fill="auto"/>
            <w:noWrap/>
            <w:vAlign w:val="center"/>
            <w:hideMark/>
          </w:tcPr>
          <w:p w:rsidR="003E2F63" w:rsidRPr="003E2F63" w:rsidRDefault="003E2F63" w:rsidP="003E2F63">
            <w:pPr>
              <w:jc w:val="cente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center"/>
            <w:hideMark/>
          </w:tcPr>
          <w:p w:rsidR="003E2F63" w:rsidRPr="003E2F63" w:rsidRDefault="003E2F63" w:rsidP="003E2F63">
            <w:pPr>
              <w:jc w:val="cente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center"/>
            <w:hideMark/>
          </w:tcPr>
          <w:p w:rsidR="003E2F63" w:rsidRPr="003E2F63" w:rsidRDefault="003E2F63" w:rsidP="003E2F63">
            <w:pPr>
              <w:jc w:val="cente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center"/>
            <w:hideMark/>
          </w:tcPr>
          <w:p w:rsidR="003E2F63" w:rsidRPr="003E2F63" w:rsidRDefault="003E2F63" w:rsidP="003E2F63">
            <w:pPr>
              <w:jc w:val="cente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center"/>
            <w:hideMark/>
          </w:tcPr>
          <w:p w:rsidR="003E2F63" w:rsidRPr="003E2F63" w:rsidRDefault="003E2F63" w:rsidP="003E2F63">
            <w:pPr>
              <w:jc w:val="cente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center"/>
            <w:hideMark/>
          </w:tcPr>
          <w:p w:rsidR="003E2F63" w:rsidRPr="003E2F63" w:rsidRDefault="003E2F63" w:rsidP="003E2F63">
            <w:pPr>
              <w:jc w:val="center"/>
              <w:rPr>
                <w:rFonts w:ascii="Tahoma" w:hAnsi="Tahoma" w:cs="Tahoma"/>
                <w:color w:val="000000"/>
                <w:sz w:val="22"/>
                <w:szCs w:val="22"/>
                <w:lang w:eastAsia="sk-SK"/>
              </w:rPr>
            </w:pPr>
          </w:p>
        </w:tc>
      </w:tr>
      <w:tr w:rsidR="003E2F63" w:rsidRPr="003E2F63" w:rsidTr="003E2F63">
        <w:trPr>
          <w:trHeight w:val="1429"/>
        </w:trPr>
        <w:tc>
          <w:tcPr>
            <w:tcW w:w="160" w:type="dxa"/>
            <w:tcBorders>
              <w:top w:val="nil"/>
              <w:left w:val="nil"/>
              <w:bottom w:val="nil"/>
              <w:right w:val="nil"/>
            </w:tcBorders>
            <w:shd w:val="clear" w:color="auto" w:fill="auto"/>
            <w:vAlign w:val="bottom"/>
            <w:hideMark/>
          </w:tcPr>
          <w:p w:rsidR="003E2F63" w:rsidRPr="003E2F63" w:rsidRDefault="003E2F63" w:rsidP="003E2F63">
            <w:pPr>
              <w:jc w:val="center"/>
              <w:rPr>
                <w:rFonts w:asciiTheme="majorHAnsi" w:hAnsiTheme="majorHAnsi" w:cs="Tahoma"/>
                <w:color w:val="000000"/>
                <w:sz w:val="20"/>
                <w:szCs w:val="20"/>
                <w:lang w:eastAsia="sk-SK"/>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E2F63" w:rsidRPr="003E2F63" w:rsidRDefault="003E2F63" w:rsidP="003E2F63">
            <w:pPr>
              <w:rPr>
                <w:rFonts w:asciiTheme="majorHAnsi" w:hAnsiTheme="majorHAnsi" w:cs="Tahoma"/>
                <w:b/>
                <w:bCs/>
                <w:color w:val="000000"/>
                <w:sz w:val="20"/>
                <w:szCs w:val="20"/>
                <w:lang w:eastAsia="sk-SK"/>
              </w:rPr>
            </w:pPr>
            <w:r w:rsidRPr="003E2F63">
              <w:rPr>
                <w:rFonts w:asciiTheme="majorHAnsi" w:hAnsiTheme="majorHAnsi" w:cs="Tahoma"/>
                <w:b/>
                <w:bCs/>
                <w:color w:val="000000"/>
                <w:sz w:val="20"/>
                <w:szCs w:val="20"/>
                <w:lang w:eastAsia="sk-SK"/>
              </w:rPr>
              <w:t>Názov , sídlo a IČO  subdodávateľa</w:t>
            </w:r>
          </w:p>
        </w:tc>
        <w:tc>
          <w:tcPr>
            <w:tcW w:w="3340" w:type="dxa"/>
            <w:tcBorders>
              <w:top w:val="single" w:sz="4" w:space="0" w:color="auto"/>
              <w:left w:val="nil"/>
              <w:bottom w:val="single" w:sz="4" w:space="0" w:color="auto"/>
              <w:right w:val="single" w:sz="4" w:space="0" w:color="auto"/>
            </w:tcBorders>
            <w:shd w:val="clear" w:color="auto" w:fill="auto"/>
            <w:hideMark/>
          </w:tcPr>
          <w:p w:rsidR="003E2F63" w:rsidRPr="003E2F63" w:rsidRDefault="003E2F63" w:rsidP="003E2F63">
            <w:pPr>
              <w:rPr>
                <w:rFonts w:asciiTheme="majorHAnsi" w:hAnsiTheme="majorHAnsi" w:cs="Tahoma"/>
                <w:b/>
                <w:bCs/>
                <w:color w:val="000000"/>
                <w:sz w:val="20"/>
                <w:szCs w:val="20"/>
                <w:lang w:eastAsia="sk-SK"/>
              </w:rPr>
            </w:pPr>
            <w:r w:rsidRPr="003E2F63">
              <w:rPr>
                <w:rFonts w:asciiTheme="majorHAnsi" w:hAnsiTheme="majorHAnsi" w:cs="Tahoma"/>
                <w:b/>
                <w:bCs/>
                <w:color w:val="000000"/>
                <w:sz w:val="20"/>
                <w:szCs w:val="20"/>
                <w:lang w:eastAsia="sk-SK"/>
              </w:rPr>
              <w:t xml:space="preserve">Osoba oprávnená konať za subdodávateľa  (meno                 a priezvisko, adresa pobytu, dátum narodenia), tel. č., email </w:t>
            </w:r>
          </w:p>
        </w:tc>
        <w:tc>
          <w:tcPr>
            <w:tcW w:w="2220" w:type="dxa"/>
            <w:tcBorders>
              <w:top w:val="single" w:sz="4" w:space="0" w:color="auto"/>
              <w:left w:val="nil"/>
              <w:bottom w:val="single" w:sz="4" w:space="0" w:color="auto"/>
              <w:right w:val="single" w:sz="4" w:space="0" w:color="auto"/>
            </w:tcBorders>
            <w:shd w:val="clear" w:color="auto" w:fill="auto"/>
            <w:hideMark/>
          </w:tcPr>
          <w:p w:rsidR="003E2F63" w:rsidRPr="003E2F63" w:rsidRDefault="003E2F63" w:rsidP="003E2F63">
            <w:pPr>
              <w:rPr>
                <w:rFonts w:asciiTheme="majorHAnsi" w:hAnsiTheme="majorHAnsi" w:cs="Tahoma"/>
                <w:b/>
                <w:bCs/>
                <w:color w:val="000000"/>
                <w:sz w:val="20"/>
                <w:szCs w:val="20"/>
                <w:lang w:eastAsia="sk-SK"/>
              </w:rPr>
            </w:pPr>
            <w:r w:rsidRPr="003E2F63">
              <w:rPr>
                <w:rFonts w:asciiTheme="majorHAnsi" w:hAnsiTheme="majorHAnsi" w:cs="Tahoma"/>
                <w:b/>
                <w:bCs/>
                <w:color w:val="000000"/>
                <w:sz w:val="20"/>
                <w:szCs w:val="20"/>
                <w:lang w:eastAsia="sk-SK"/>
              </w:rPr>
              <w:t>Predmet subdodávky</w:t>
            </w:r>
          </w:p>
        </w:tc>
        <w:tc>
          <w:tcPr>
            <w:tcW w:w="1476" w:type="dxa"/>
            <w:tcBorders>
              <w:top w:val="single" w:sz="4" w:space="0" w:color="auto"/>
              <w:left w:val="nil"/>
              <w:bottom w:val="single" w:sz="4" w:space="0" w:color="auto"/>
              <w:right w:val="single" w:sz="4" w:space="0" w:color="auto"/>
            </w:tcBorders>
            <w:shd w:val="clear" w:color="auto" w:fill="auto"/>
            <w:hideMark/>
          </w:tcPr>
          <w:p w:rsidR="003E2F63" w:rsidRPr="003E2F63" w:rsidRDefault="003E2F63" w:rsidP="003E2F63">
            <w:pPr>
              <w:rPr>
                <w:rFonts w:asciiTheme="majorHAnsi" w:hAnsiTheme="majorHAnsi" w:cs="Tahoma"/>
                <w:b/>
                <w:bCs/>
                <w:color w:val="000000"/>
                <w:sz w:val="20"/>
                <w:szCs w:val="20"/>
                <w:lang w:eastAsia="sk-SK"/>
              </w:rPr>
            </w:pPr>
            <w:r w:rsidRPr="003E2F63">
              <w:rPr>
                <w:rFonts w:asciiTheme="majorHAnsi" w:hAnsiTheme="majorHAnsi" w:cs="Tahoma"/>
                <w:b/>
                <w:bCs/>
                <w:color w:val="000000"/>
                <w:sz w:val="20"/>
                <w:szCs w:val="20"/>
                <w:lang w:eastAsia="sk-SK"/>
              </w:rPr>
              <w:t xml:space="preserve">Podiel subdodávok            z celého predmetu plnenia v EUR </w:t>
            </w:r>
          </w:p>
        </w:tc>
        <w:tc>
          <w:tcPr>
            <w:tcW w:w="160" w:type="dxa"/>
            <w:tcBorders>
              <w:top w:val="nil"/>
              <w:left w:val="nil"/>
              <w:bottom w:val="nil"/>
              <w:right w:val="nil"/>
            </w:tcBorders>
            <w:shd w:val="clear" w:color="auto" w:fill="auto"/>
            <w:vAlign w:val="bottom"/>
            <w:hideMark/>
          </w:tcPr>
          <w:p w:rsidR="003E2F63" w:rsidRPr="003E2F63" w:rsidRDefault="003E2F63" w:rsidP="003E2F63">
            <w:pPr>
              <w:jc w:val="center"/>
              <w:rPr>
                <w:rFonts w:ascii="Tahoma" w:hAnsi="Tahoma" w:cs="Tahoma"/>
                <w:color w:val="000000"/>
                <w:sz w:val="22"/>
                <w:szCs w:val="22"/>
                <w:lang w:eastAsia="sk-SK"/>
              </w:rPr>
            </w:pPr>
          </w:p>
        </w:tc>
        <w:tc>
          <w:tcPr>
            <w:tcW w:w="1240" w:type="dxa"/>
            <w:tcBorders>
              <w:top w:val="nil"/>
              <w:left w:val="nil"/>
              <w:bottom w:val="nil"/>
              <w:right w:val="nil"/>
            </w:tcBorders>
            <w:shd w:val="clear" w:color="auto" w:fill="auto"/>
            <w:vAlign w:val="bottom"/>
            <w:hideMark/>
          </w:tcPr>
          <w:p w:rsidR="003E2F63" w:rsidRPr="003E2F63" w:rsidRDefault="003E2F63" w:rsidP="003E2F63">
            <w:pPr>
              <w:jc w:val="cente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Energie2, a.s.</w:t>
            </w:r>
          </w:p>
        </w:tc>
        <w:tc>
          <w:tcPr>
            <w:tcW w:w="334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xml:space="preserve">Mgr. Dušan Vlnka </w:t>
            </w:r>
          </w:p>
        </w:tc>
        <w:tc>
          <w:tcPr>
            <w:tcW w:w="222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elektrická energia</w:t>
            </w:r>
          </w:p>
        </w:tc>
        <w:tc>
          <w:tcPr>
            <w:tcW w:w="1476"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jc w:val="right"/>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0,00</w:t>
            </w: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roofErr w:type="spellStart"/>
            <w:r w:rsidRPr="003E2F63">
              <w:rPr>
                <w:rFonts w:asciiTheme="majorHAnsi" w:hAnsiTheme="majorHAnsi" w:cs="Tahoma"/>
                <w:color w:val="000000"/>
                <w:sz w:val="20"/>
                <w:szCs w:val="20"/>
                <w:lang w:eastAsia="sk-SK"/>
              </w:rPr>
              <w:t>Lazaretská</w:t>
            </w:r>
            <w:proofErr w:type="spellEnd"/>
            <w:r w:rsidRPr="003E2F63">
              <w:rPr>
                <w:rFonts w:asciiTheme="majorHAnsi" w:hAnsiTheme="majorHAnsi" w:cs="Tahoma"/>
                <w:color w:val="000000"/>
                <w:sz w:val="20"/>
                <w:szCs w:val="20"/>
                <w:lang w:eastAsia="sk-SK"/>
              </w:rPr>
              <w:t xml:space="preserve"> 3a</w:t>
            </w:r>
          </w:p>
        </w:tc>
        <w:tc>
          <w:tcPr>
            <w:tcW w:w="334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038/5365191</w:t>
            </w:r>
          </w:p>
        </w:tc>
        <w:tc>
          <w:tcPr>
            <w:tcW w:w="222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811 08 Bratislava</w:t>
            </w:r>
          </w:p>
        </w:tc>
        <w:tc>
          <w:tcPr>
            <w:tcW w:w="334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dusan.vlnka@energie2.sk</w:t>
            </w:r>
          </w:p>
        </w:tc>
        <w:tc>
          <w:tcPr>
            <w:tcW w:w="222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IČO: 46113177</w:t>
            </w:r>
          </w:p>
        </w:tc>
        <w:tc>
          <w:tcPr>
            <w:tcW w:w="334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222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334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2220"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b/>
                <w:bCs/>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63"/>
        </w:trPr>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b/>
                <w:bCs/>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b/>
                <w:bCs/>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b/>
                <w:bCs/>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b/>
                <w:bCs/>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b/>
                <w:bCs/>
                <w:color w:val="000000"/>
                <w:sz w:val="22"/>
                <w:szCs w:val="22"/>
                <w:lang w:eastAsia="sk-SK"/>
              </w:rPr>
            </w:pPr>
          </w:p>
        </w:tc>
      </w:tr>
      <w:tr w:rsidR="003E2F63" w:rsidRPr="003E2F63" w:rsidTr="003E2F63">
        <w:trPr>
          <w:trHeight w:val="285"/>
        </w:trPr>
        <w:tc>
          <w:tcPr>
            <w:tcW w:w="6100" w:type="dxa"/>
            <w:gridSpan w:val="4"/>
            <w:tcBorders>
              <w:top w:val="nil"/>
              <w:left w:val="nil"/>
              <w:bottom w:val="nil"/>
              <w:right w:val="nil"/>
            </w:tcBorders>
            <w:shd w:val="clear" w:color="auto" w:fill="auto"/>
            <w:noWrap/>
            <w:vAlign w:val="bottom"/>
            <w:hideMark/>
          </w:tcPr>
          <w:p w:rsidR="003E2F63" w:rsidRPr="003E2F63" w:rsidRDefault="003E2F63" w:rsidP="008F6B7D">
            <w:pPr>
              <w:rPr>
                <w:rFonts w:asciiTheme="majorHAnsi" w:hAnsiTheme="majorHAnsi" w:cs="Tahoma"/>
                <w:color w:val="000000"/>
                <w:sz w:val="20"/>
                <w:szCs w:val="20"/>
                <w:lang w:eastAsia="sk-SK"/>
              </w:rPr>
            </w:pPr>
            <w:r w:rsidRPr="00354D81">
              <w:rPr>
                <w:rFonts w:asciiTheme="majorHAnsi" w:hAnsiTheme="majorHAnsi" w:cs="Tahoma"/>
                <w:color w:val="000000"/>
                <w:sz w:val="20"/>
                <w:szCs w:val="20"/>
                <w:lang w:eastAsia="sk-SK"/>
              </w:rPr>
              <w:t xml:space="preserve">V Bratislave, dňa </w:t>
            </w:r>
            <w:r w:rsidR="008F6B7D">
              <w:rPr>
                <w:rFonts w:asciiTheme="majorHAnsi" w:hAnsiTheme="majorHAnsi" w:cs="Tahoma"/>
                <w:color w:val="000000"/>
                <w:sz w:val="20"/>
                <w:szCs w:val="20"/>
                <w:lang w:eastAsia="sk-SK"/>
              </w:rPr>
              <w:t>18.12.2017</w:t>
            </w: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9956" w:type="dxa"/>
            <w:gridSpan w:val="7"/>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 xml:space="preserve">Obchodné meno a sídlo dodávateľa :  Energie2, a.s., </w:t>
            </w:r>
            <w:proofErr w:type="spellStart"/>
            <w:r w:rsidRPr="003E2F63">
              <w:rPr>
                <w:rFonts w:asciiTheme="majorHAnsi" w:hAnsiTheme="majorHAnsi" w:cs="Tahoma"/>
                <w:color w:val="000000"/>
                <w:sz w:val="20"/>
                <w:szCs w:val="20"/>
                <w:lang w:eastAsia="sk-SK"/>
              </w:rPr>
              <w:t>Lazaretská</w:t>
            </w:r>
            <w:proofErr w:type="spellEnd"/>
            <w:r w:rsidRPr="003E2F63">
              <w:rPr>
                <w:rFonts w:asciiTheme="majorHAnsi" w:hAnsiTheme="majorHAnsi" w:cs="Tahoma"/>
                <w:color w:val="000000"/>
                <w:sz w:val="20"/>
                <w:szCs w:val="20"/>
                <w:lang w:eastAsia="sk-SK"/>
              </w:rPr>
              <w:t xml:space="preserve"> 3a, 811 08 Bratislava  </w:t>
            </w: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9"/>
        </w:trPr>
        <w:tc>
          <w:tcPr>
            <w:tcW w:w="8320" w:type="dxa"/>
            <w:gridSpan w:val="5"/>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r w:rsidRPr="003E2F63">
              <w:rPr>
                <w:rFonts w:asciiTheme="majorHAnsi" w:hAnsiTheme="majorHAnsi" w:cs="Tahoma"/>
                <w:color w:val="000000"/>
                <w:sz w:val="20"/>
                <w:szCs w:val="20"/>
                <w:lang w:eastAsia="sk-SK"/>
              </w:rPr>
              <w:t>Meno a podpis oprávneného zástupcu  :  Mgr. Dušan Vlnka - na základe plnej moci</w:t>
            </w: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heme="majorHAnsi" w:hAnsiTheme="majorHAnsi"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0"/>
                <w:szCs w:val="20"/>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0"/>
                <w:szCs w:val="20"/>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r w:rsidR="003E2F63" w:rsidRPr="003E2F63" w:rsidTr="003E2F63">
        <w:trPr>
          <w:trHeight w:val="285"/>
        </w:trPr>
        <w:tc>
          <w:tcPr>
            <w:tcW w:w="540" w:type="dxa"/>
            <w:gridSpan w:val="2"/>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33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222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476"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3E2F63" w:rsidRPr="003E2F63" w:rsidRDefault="003E2F63" w:rsidP="003E2F63">
            <w:pPr>
              <w:rPr>
                <w:rFonts w:ascii="Tahoma" w:hAnsi="Tahoma" w:cs="Tahoma"/>
                <w:color w:val="000000"/>
                <w:sz w:val="22"/>
                <w:szCs w:val="22"/>
                <w:lang w:eastAsia="sk-SK"/>
              </w:rPr>
            </w:pPr>
          </w:p>
        </w:tc>
      </w:tr>
    </w:tbl>
    <w:p w:rsidR="003E2F63" w:rsidRDefault="003E2F63" w:rsidP="002E3859">
      <w:pPr>
        <w:autoSpaceDE w:val="0"/>
        <w:autoSpaceDN w:val="0"/>
        <w:adjustRightInd w:val="0"/>
        <w:jc w:val="both"/>
      </w:pPr>
      <w:r>
        <w:rPr>
          <w:rFonts w:ascii="Cambria" w:hAnsi="Cambria" w:cs="Cambria"/>
          <w:color w:val="000000"/>
          <w:sz w:val="20"/>
          <w:szCs w:val="20"/>
        </w:rPr>
        <w:br w:type="page"/>
      </w:r>
    </w:p>
    <w:sectPr w:rsidR="003E2F63" w:rsidSect="003E2F6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91" w:rsidRDefault="00933791" w:rsidP="006D6905">
      <w:r>
        <w:separator/>
      </w:r>
    </w:p>
  </w:endnote>
  <w:endnote w:type="continuationSeparator" w:id="0">
    <w:p w:rsidR="00933791" w:rsidRDefault="00933791" w:rsidP="006D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Th">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91" w:rsidRDefault="00933791" w:rsidP="006D6905">
      <w:r>
        <w:separator/>
      </w:r>
    </w:p>
  </w:footnote>
  <w:footnote w:type="continuationSeparator" w:id="0">
    <w:p w:rsidR="00933791" w:rsidRDefault="00933791" w:rsidP="006D6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80F"/>
    <w:multiLevelType w:val="hybridMultilevel"/>
    <w:tmpl w:val="41B2A5B6"/>
    <w:lvl w:ilvl="0" w:tplc="E1A4DA66">
      <w:start w:val="1"/>
      <w:numFmt w:val="decimal"/>
      <w:lvlText w:val="10.%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8255CA4"/>
    <w:multiLevelType w:val="hybridMultilevel"/>
    <w:tmpl w:val="ED1496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663C9952">
      <w:numFmt w:val="bullet"/>
      <w:lvlText w:val="-"/>
      <w:lvlJc w:val="left"/>
      <w:pPr>
        <w:ind w:left="2160" w:hanging="360"/>
      </w:pPr>
      <w:rPr>
        <w:rFonts w:ascii="Helvetica" w:eastAsiaTheme="minorHAnsi" w:hAnsi="Helvetica" w:cs="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6FC1802"/>
    <w:multiLevelType w:val="multilevel"/>
    <w:tmpl w:val="9A46EF42"/>
    <w:lvl w:ilvl="0">
      <w:start w:val="10"/>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70095D3B"/>
    <w:multiLevelType w:val="hybridMultilevel"/>
    <w:tmpl w:val="55EA5C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29D"/>
    <w:rsid w:val="00046444"/>
    <w:rsid w:val="00131453"/>
    <w:rsid w:val="00154532"/>
    <w:rsid w:val="00174E91"/>
    <w:rsid w:val="002114FF"/>
    <w:rsid w:val="0023496F"/>
    <w:rsid w:val="0025284A"/>
    <w:rsid w:val="002B6B29"/>
    <w:rsid w:val="002E3859"/>
    <w:rsid w:val="00302A10"/>
    <w:rsid w:val="00317173"/>
    <w:rsid w:val="00354D81"/>
    <w:rsid w:val="0037039E"/>
    <w:rsid w:val="00392A85"/>
    <w:rsid w:val="003A2462"/>
    <w:rsid w:val="003E2F63"/>
    <w:rsid w:val="00446E49"/>
    <w:rsid w:val="00504EAA"/>
    <w:rsid w:val="00582047"/>
    <w:rsid w:val="0064629D"/>
    <w:rsid w:val="006C2385"/>
    <w:rsid w:val="006D6905"/>
    <w:rsid w:val="006F0472"/>
    <w:rsid w:val="00712039"/>
    <w:rsid w:val="007920EB"/>
    <w:rsid w:val="008F6B7D"/>
    <w:rsid w:val="00910945"/>
    <w:rsid w:val="00933791"/>
    <w:rsid w:val="00974AED"/>
    <w:rsid w:val="00986741"/>
    <w:rsid w:val="009A58C9"/>
    <w:rsid w:val="00A5627D"/>
    <w:rsid w:val="00B70F6D"/>
    <w:rsid w:val="00BF6B2B"/>
    <w:rsid w:val="00CE25B4"/>
    <w:rsid w:val="00CF6E72"/>
    <w:rsid w:val="00D01721"/>
    <w:rsid w:val="00D7182D"/>
    <w:rsid w:val="00DD105E"/>
    <w:rsid w:val="00E3049C"/>
    <w:rsid w:val="00E565BD"/>
    <w:rsid w:val="00EB6860"/>
    <w:rsid w:val="00F05720"/>
    <w:rsid w:val="00F82B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472"/>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504EAA"/>
    <w:pPr>
      <w:ind w:left="708"/>
    </w:pPr>
  </w:style>
  <w:style w:type="character" w:customStyle="1" w:styleId="OdsekzoznamuChar">
    <w:name w:val="Odsek zoznamu Char"/>
    <w:link w:val="Odsekzoznamu"/>
    <w:uiPriority w:val="99"/>
    <w:locked/>
    <w:rsid w:val="00504EAA"/>
    <w:rPr>
      <w:rFonts w:ascii="Times New Roman" w:hAnsi="Times New Roman" w:cs="Times New Roman"/>
      <w:sz w:val="24"/>
      <w:szCs w:val="24"/>
      <w:lang w:eastAsia="cs-CZ"/>
    </w:rPr>
  </w:style>
  <w:style w:type="paragraph" w:styleId="Hlavika">
    <w:name w:val="header"/>
    <w:basedOn w:val="Normlny"/>
    <w:link w:val="HlavikaChar"/>
    <w:uiPriority w:val="99"/>
    <w:rsid w:val="006D6905"/>
    <w:pPr>
      <w:tabs>
        <w:tab w:val="center" w:pos="4536"/>
        <w:tab w:val="right" w:pos="9072"/>
      </w:tabs>
    </w:pPr>
  </w:style>
  <w:style w:type="character" w:customStyle="1" w:styleId="HlavikaChar">
    <w:name w:val="Hlavička Char"/>
    <w:link w:val="Hlavika"/>
    <w:uiPriority w:val="99"/>
    <w:locked/>
    <w:rsid w:val="006D6905"/>
    <w:rPr>
      <w:rFonts w:ascii="Times New Roman" w:hAnsi="Times New Roman" w:cs="Times New Roman"/>
      <w:sz w:val="24"/>
      <w:szCs w:val="24"/>
      <w:lang w:eastAsia="cs-CZ"/>
    </w:rPr>
  </w:style>
  <w:style w:type="paragraph" w:styleId="Pta">
    <w:name w:val="footer"/>
    <w:basedOn w:val="Normlny"/>
    <w:link w:val="PtaChar"/>
    <w:uiPriority w:val="99"/>
    <w:rsid w:val="006D6905"/>
    <w:pPr>
      <w:tabs>
        <w:tab w:val="center" w:pos="4536"/>
        <w:tab w:val="right" w:pos="9072"/>
      </w:tabs>
    </w:pPr>
  </w:style>
  <w:style w:type="character" w:customStyle="1" w:styleId="PtaChar">
    <w:name w:val="Päta Char"/>
    <w:link w:val="Pta"/>
    <w:uiPriority w:val="99"/>
    <w:locked/>
    <w:rsid w:val="006D6905"/>
    <w:rPr>
      <w:rFonts w:ascii="Times New Roman" w:hAnsi="Times New Roman" w:cs="Times New Roman"/>
      <w:sz w:val="24"/>
      <w:szCs w:val="24"/>
      <w:lang w:eastAsia="cs-CZ"/>
    </w:rPr>
  </w:style>
  <w:style w:type="paragraph" w:customStyle="1" w:styleId="Default">
    <w:name w:val="Default"/>
    <w:rsid w:val="003E2F63"/>
    <w:pPr>
      <w:autoSpaceDE w:val="0"/>
      <w:autoSpaceDN w:val="0"/>
      <w:adjustRightInd w:val="0"/>
    </w:pPr>
    <w:rPr>
      <w:rFonts w:ascii="Roboto Th" w:hAnsi="Roboto Th" w:cs="Roboto Th"/>
      <w:color w:val="000000"/>
      <w:sz w:val="24"/>
      <w:szCs w:val="24"/>
      <w:lang w:eastAsia="en-US"/>
    </w:rPr>
  </w:style>
  <w:style w:type="character" w:customStyle="1" w:styleId="A3">
    <w:name w:val="A3"/>
    <w:uiPriority w:val="99"/>
    <w:rsid w:val="003E2F63"/>
    <w:rPr>
      <w:rFonts w:cs="Roboto Th"/>
      <w:color w:val="000000"/>
      <w:sz w:val="22"/>
      <w:szCs w:val="22"/>
    </w:rPr>
  </w:style>
  <w:style w:type="paragraph" w:styleId="Textbubliny">
    <w:name w:val="Balloon Text"/>
    <w:basedOn w:val="Normlny"/>
    <w:link w:val="TextbublinyChar"/>
    <w:uiPriority w:val="99"/>
    <w:semiHidden/>
    <w:unhideWhenUsed/>
    <w:rsid w:val="00A5627D"/>
    <w:rPr>
      <w:rFonts w:ascii="Tahoma" w:hAnsi="Tahoma" w:cs="Tahoma"/>
      <w:sz w:val="16"/>
      <w:szCs w:val="16"/>
    </w:rPr>
  </w:style>
  <w:style w:type="character" w:customStyle="1" w:styleId="TextbublinyChar">
    <w:name w:val="Text bubliny Char"/>
    <w:basedOn w:val="Predvolenpsmoodseku"/>
    <w:link w:val="Textbubliny"/>
    <w:uiPriority w:val="99"/>
    <w:semiHidden/>
    <w:rsid w:val="00A5627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71153">
      <w:marLeft w:val="0"/>
      <w:marRight w:val="0"/>
      <w:marTop w:val="0"/>
      <w:marBottom w:val="0"/>
      <w:divBdr>
        <w:top w:val="none" w:sz="0" w:space="0" w:color="auto"/>
        <w:left w:val="none" w:sz="0" w:space="0" w:color="auto"/>
        <w:bottom w:val="none" w:sz="0" w:space="0" w:color="auto"/>
        <w:right w:val="none" w:sz="0" w:space="0" w:color="auto"/>
      </w:divBdr>
    </w:div>
    <w:div w:id="12749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15</Pages>
  <Words>5746</Words>
  <Characters>32754</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default1</dc:creator>
  <cp:keywords/>
  <dc:description/>
  <cp:lastModifiedBy>asus1</cp:lastModifiedBy>
  <cp:revision>24</cp:revision>
  <cp:lastPrinted>2017-12-20T09:51:00Z</cp:lastPrinted>
  <dcterms:created xsi:type="dcterms:W3CDTF">2015-09-17T07:35:00Z</dcterms:created>
  <dcterms:modified xsi:type="dcterms:W3CDTF">2017-12-21T07:33:00Z</dcterms:modified>
</cp:coreProperties>
</file>